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21" w:type="dxa"/>
        <w:jc w:val="center"/>
        <w:tblLayout w:type="fixed"/>
        <w:tblCellMar>
          <w:left w:w="115" w:type="dxa"/>
          <w:right w:w="115" w:type="dxa"/>
        </w:tblCellMar>
        <w:tblLook w:val="04A0" w:firstRow="1" w:lastRow="0" w:firstColumn="1" w:lastColumn="0" w:noHBand="0" w:noVBand="1"/>
      </w:tblPr>
      <w:tblGrid>
        <w:gridCol w:w="638"/>
        <w:gridCol w:w="7110"/>
        <w:gridCol w:w="1473"/>
      </w:tblGrid>
      <w:tr w:rsidR="00C34794" w:rsidRPr="00B3156D" w:rsidTr="00AB171B">
        <w:trPr>
          <w:jc w:val="center"/>
        </w:trPr>
        <w:tc>
          <w:tcPr>
            <w:tcW w:w="9221" w:type="dxa"/>
            <w:gridSpan w:val="3"/>
            <w:shd w:val="clear" w:color="auto" w:fill="FFFFFF" w:themeFill="background1"/>
          </w:tcPr>
          <w:p w:rsidR="00C34794" w:rsidRPr="00B3156D" w:rsidRDefault="00C34794" w:rsidP="00AB171B">
            <w:pPr>
              <w:autoSpaceDE w:val="0"/>
              <w:autoSpaceDN w:val="0"/>
              <w:adjustRightInd w:val="0"/>
              <w:spacing w:before="120" w:after="120"/>
              <w:jc w:val="center"/>
              <w:rPr>
                <w:rFonts w:asciiTheme="majorBidi" w:hAnsiTheme="majorBidi" w:cstheme="majorBidi"/>
                <w:b/>
                <w:bCs/>
                <w:color w:val="000000"/>
                <w:sz w:val="24"/>
                <w:szCs w:val="24"/>
              </w:rPr>
            </w:pPr>
            <w:r w:rsidRPr="00B3156D">
              <w:rPr>
                <w:rFonts w:asciiTheme="majorBidi" w:hAnsiTheme="majorBidi" w:cstheme="majorBidi"/>
                <w:b/>
                <w:bCs/>
                <w:color w:val="000000"/>
                <w:sz w:val="24"/>
                <w:szCs w:val="24"/>
              </w:rPr>
              <w:t>Basel III common disclosure template to be used from 1 January 201</w:t>
            </w:r>
            <w:r>
              <w:rPr>
                <w:rFonts w:asciiTheme="majorBidi" w:hAnsiTheme="majorBidi" w:cstheme="majorBidi"/>
                <w:b/>
                <w:bCs/>
                <w:color w:val="000000"/>
                <w:sz w:val="24"/>
                <w:szCs w:val="24"/>
              </w:rPr>
              <w:t>9</w:t>
            </w:r>
          </w:p>
        </w:tc>
      </w:tr>
      <w:tr w:rsidR="00C34794" w:rsidRPr="00B3156D" w:rsidTr="00AB171B">
        <w:trPr>
          <w:jc w:val="center"/>
        </w:trPr>
        <w:tc>
          <w:tcPr>
            <w:tcW w:w="9221" w:type="dxa"/>
            <w:gridSpan w:val="3"/>
            <w:shd w:val="clear" w:color="auto" w:fill="D9D9D9" w:themeFill="background1" w:themeFillShade="D9"/>
          </w:tcPr>
          <w:p w:rsidR="00C34794" w:rsidRPr="00B3156D" w:rsidRDefault="00C34794" w:rsidP="00AB171B">
            <w:pPr>
              <w:autoSpaceDE w:val="0"/>
              <w:autoSpaceDN w:val="0"/>
              <w:adjustRightInd w:val="0"/>
              <w:jc w:val="center"/>
              <w:rPr>
                <w:rFonts w:asciiTheme="majorBidi" w:hAnsiTheme="majorBidi" w:cstheme="majorBidi"/>
                <w:b/>
                <w:bCs/>
                <w:color w:val="000000"/>
                <w:sz w:val="20"/>
                <w:szCs w:val="20"/>
              </w:rPr>
            </w:pPr>
            <w:r w:rsidRPr="00B3156D">
              <w:rPr>
                <w:rFonts w:asciiTheme="majorBidi" w:hAnsiTheme="majorBidi" w:cstheme="majorBidi"/>
                <w:b/>
                <w:bCs/>
                <w:color w:val="000000"/>
                <w:sz w:val="20"/>
                <w:szCs w:val="20"/>
              </w:rPr>
              <w:t>Common Equity Tier 1 capital: instruments and reserves</w:t>
            </w:r>
          </w:p>
        </w:tc>
      </w:tr>
      <w:tr w:rsidR="00C34794" w:rsidRPr="00B3156D" w:rsidTr="00AB171B">
        <w:trPr>
          <w:jc w:val="center"/>
        </w:trPr>
        <w:tc>
          <w:tcPr>
            <w:tcW w:w="638" w:type="dxa"/>
          </w:tcPr>
          <w:p w:rsidR="00C34794" w:rsidRPr="00B3156D" w:rsidRDefault="00C34794" w:rsidP="00AB171B">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C34794" w:rsidRPr="00B3156D" w:rsidRDefault="00C34794" w:rsidP="00AB171B">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Directly issued qualifying common share capital plus related stock surplus</w:t>
            </w:r>
          </w:p>
        </w:tc>
        <w:tc>
          <w:tcPr>
            <w:tcW w:w="1473" w:type="dxa"/>
          </w:tcPr>
          <w:p w:rsidR="00C34794" w:rsidRPr="00B3156D" w:rsidRDefault="00B5577D" w:rsidP="00AD6068">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1"/>
                  <w:enabled/>
                  <w:calcOnExit w:val="0"/>
                  <w:textInput/>
                </w:ffData>
              </w:fldChar>
            </w:r>
            <w:r>
              <w:rPr>
                <w:rFonts w:asciiTheme="majorBidi" w:hAnsiTheme="majorBidi" w:cstheme="majorBidi"/>
                <w:color w:val="000000"/>
                <w:sz w:val="20"/>
                <w:szCs w:val="20"/>
              </w:rPr>
              <w:instrText xml:space="preserve"> </w:instrText>
            </w:r>
            <w:bookmarkStart w:id="0" w:name="Text1"/>
            <w:r>
              <w:rPr>
                <w:rFonts w:asciiTheme="majorBidi" w:hAnsiTheme="majorBidi" w:cstheme="majorBidi"/>
                <w:color w:val="000000"/>
                <w:sz w:val="20"/>
                <w:szCs w:val="20"/>
              </w:rPr>
              <w:instrText xml:space="preserve">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bookmarkStart w:id="1" w:name="_GoBack"/>
            <w:bookmarkEnd w:id="1"/>
            <w:r w:rsidR="00AD6068">
              <w:rPr>
                <w:rFonts w:asciiTheme="majorBidi" w:hAnsiTheme="majorBidi" w:cstheme="majorBidi"/>
                <w:color w:val="000000"/>
                <w:sz w:val="20"/>
                <w:szCs w:val="20"/>
              </w:rPr>
              <w:t> </w:t>
            </w:r>
            <w:r w:rsidR="00AD6068">
              <w:rPr>
                <w:rFonts w:asciiTheme="majorBidi" w:hAnsiTheme="majorBidi" w:cstheme="majorBidi"/>
                <w:color w:val="000000"/>
                <w:sz w:val="20"/>
                <w:szCs w:val="20"/>
              </w:rPr>
              <w:t> </w:t>
            </w:r>
            <w:r w:rsidR="00AD6068">
              <w:rPr>
                <w:rFonts w:asciiTheme="majorBidi" w:hAnsiTheme="majorBidi" w:cstheme="majorBidi"/>
                <w:color w:val="000000"/>
                <w:sz w:val="20"/>
                <w:szCs w:val="20"/>
              </w:rPr>
              <w:t> </w:t>
            </w:r>
            <w:r w:rsidR="00AD6068">
              <w:rPr>
                <w:rFonts w:asciiTheme="majorBidi" w:hAnsiTheme="majorBidi" w:cstheme="majorBidi"/>
                <w:color w:val="000000"/>
                <w:sz w:val="20"/>
                <w:szCs w:val="20"/>
              </w:rPr>
              <w:t> </w:t>
            </w:r>
            <w:r w:rsidR="00AD6068">
              <w:rPr>
                <w:rFonts w:asciiTheme="majorBidi" w:hAnsiTheme="majorBidi" w:cstheme="majorBidi"/>
                <w:color w:val="000000"/>
                <w:sz w:val="20"/>
                <w:szCs w:val="20"/>
              </w:rPr>
              <w:t> </w:t>
            </w:r>
            <w:r>
              <w:rPr>
                <w:rFonts w:asciiTheme="majorBidi" w:hAnsiTheme="majorBidi" w:cstheme="majorBidi"/>
                <w:color w:val="000000"/>
                <w:sz w:val="20"/>
                <w:szCs w:val="20"/>
              </w:rPr>
              <w:fldChar w:fldCharType="end"/>
            </w:r>
            <w:bookmarkEnd w:id="0"/>
          </w:p>
        </w:tc>
      </w:tr>
      <w:tr w:rsidR="00C34794" w:rsidRPr="00B3156D" w:rsidTr="00AB171B">
        <w:trPr>
          <w:jc w:val="center"/>
        </w:trPr>
        <w:tc>
          <w:tcPr>
            <w:tcW w:w="638" w:type="dxa"/>
          </w:tcPr>
          <w:p w:rsidR="00C34794" w:rsidRPr="00B3156D" w:rsidRDefault="00C34794" w:rsidP="00AB171B">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C34794" w:rsidRPr="00B3156D" w:rsidRDefault="00C34794" w:rsidP="00AB171B">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Retained earnings</w:t>
            </w:r>
          </w:p>
        </w:tc>
        <w:tc>
          <w:tcPr>
            <w:tcW w:w="1473" w:type="dxa"/>
          </w:tcPr>
          <w:p w:rsidR="00C34794" w:rsidRPr="00B3156D" w:rsidRDefault="00FA00E1" w:rsidP="00AB171B">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10"/>
                  <w:enabled/>
                  <w:calcOnExit w:val="0"/>
                  <w:textInput/>
                </w:ffData>
              </w:fldChar>
            </w:r>
            <w:bookmarkStart w:id="2" w:name="Text10"/>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bookmarkEnd w:id="2"/>
          </w:p>
        </w:tc>
      </w:tr>
      <w:tr w:rsidR="00C34794" w:rsidRPr="00B3156D" w:rsidTr="00AB171B">
        <w:trPr>
          <w:jc w:val="center"/>
        </w:trPr>
        <w:tc>
          <w:tcPr>
            <w:tcW w:w="638" w:type="dxa"/>
          </w:tcPr>
          <w:p w:rsidR="00C34794" w:rsidRPr="00B3156D" w:rsidRDefault="00C34794" w:rsidP="00AB171B">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C34794" w:rsidRPr="00B3156D" w:rsidRDefault="00C34794" w:rsidP="00AB171B">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Accumulated other comprehensive income (and other reserves)</w:t>
            </w:r>
          </w:p>
        </w:tc>
        <w:tc>
          <w:tcPr>
            <w:tcW w:w="1473" w:type="dxa"/>
          </w:tcPr>
          <w:p w:rsidR="00C34794" w:rsidRPr="00B3156D" w:rsidRDefault="00FA00E1" w:rsidP="00AB171B">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11"/>
                  <w:enabled/>
                  <w:calcOnExit w:val="0"/>
                  <w:textInput/>
                </w:ffData>
              </w:fldChar>
            </w:r>
            <w:bookmarkStart w:id="3" w:name="Text11"/>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bookmarkEnd w:id="3"/>
          </w:p>
        </w:tc>
      </w:tr>
      <w:tr w:rsidR="00C34794" w:rsidRPr="00B3156D" w:rsidTr="00AB171B">
        <w:trPr>
          <w:jc w:val="center"/>
        </w:trPr>
        <w:tc>
          <w:tcPr>
            <w:tcW w:w="638" w:type="dxa"/>
          </w:tcPr>
          <w:p w:rsidR="00C34794" w:rsidRPr="00B3156D" w:rsidRDefault="00C34794" w:rsidP="00AB171B">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C34794" w:rsidRPr="00B3156D" w:rsidRDefault="00C34794" w:rsidP="00AB171B">
            <w:pPr>
              <w:autoSpaceDE w:val="0"/>
              <w:autoSpaceDN w:val="0"/>
              <w:adjustRightInd w:val="0"/>
              <w:jc w:val="lowKashida"/>
              <w:rPr>
                <w:rFonts w:asciiTheme="majorBidi" w:hAnsiTheme="majorBidi" w:cstheme="majorBidi"/>
                <w:i/>
                <w:iCs/>
                <w:color w:val="000000"/>
                <w:sz w:val="20"/>
                <w:szCs w:val="20"/>
              </w:rPr>
            </w:pPr>
            <w:r>
              <w:rPr>
                <w:rFonts w:asciiTheme="majorBidi" w:hAnsiTheme="majorBidi" w:cstheme="majorBidi"/>
                <w:i/>
                <w:iCs/>
                <w:color w:val="000000"/>
                <w:sz w:val="20"/>
                <w:szCs w:val="20"/>
              </w:rPr>
              <w:t>Not applicable</w:t>
            </w:r>
          </w:p>
        </w:tc>
        <w:tc>
          <w:tcPr>
            <w:tcW w:w="1473" w:type="dxa"/>
            <w:shd w:val="clear" w:color="auto" w:fill="595959" w:themeFill="text1" w:themeFillTint="A6"/>
          </w:tcPr>
          <w:p w:rsidR="00C34794" w:rsidRPr="00B3156D" w:rsidRDefault="00C34794" w:rsidP="00AB171B">
            <w:pPr>
              <w:autoSpaceDE w:val="0"/>
              <w:autoSpaceDN w:val="0"/>
              <w:adjustRightInd w:val="0"/>
              <w:jc w:val="lowKashida"/>
              <w:rPr>
                <w:rFonts w:asciiTheme="majorBidi" w:hAnsiTheme="majorBidi" w:cstheme="majorBidi"/>
                <w:color w:val="000000"/>
                <w:sz w:val="20"/>
                <w:szCs w:val="20"/>
              </w:rPr>
            </w:pPr>
          </w:p>
        </w:tc>
      </w:tr>
      <w:tr w:rsidR="00C34794" w:rsidRPr="00B3156D" w:rsidTr="00AB171B">
        <w:trPr>
          <w:jc w:val="center"/>
        </w:trPr>
        <w:tc>
          <w:tcPr>
            <w:tcW w:w="638" w:type="dxa"/>
          </w:tcPr>
          <w:p w:rsidR="00C34794" w:rsidRPr="00B3156D" w:rsidRDefault="00C34794" w:rsidP="00AB171B">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C34794" w:rsidRPr="00B3156D" w:rsidRDefault="00C34794" w:rsidP="00AB171B">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Common share capital issued by subsidiaries and held by third parties (amount allowed in group CET1)</w:t>
            </w:r>
          </w:p>
        </w:tc>
        <w:tc>
          <w:tcPr>
            <w:tcW w:w="1473" w:type="dxa"/>
          </w:tcPr>
          <w:p w:rsidR="00C34794" w:rsidRPr="00B3156D" w:rsidRDefault="00FA00E1" w:rsidP="00AB171B">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12"/>
                  <w:enabled/>
                  <w:calcOnExit w:val="0"/>
                  <w:textInput/>
                </w:ffData>
              </w:fldChar>
            </w:r>
            <w:bookmarkStart w:id="4" w:name="Text12"/>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bookmarkEnd w:id="4"/>
          </w:p>
        </w:tc>
      </w:tr>
      <w:tr w:rsidR="00C34794" w:rsidRPr="00B3156D" w:rsidTr="00AB171B">
        <w:trPr>
          <w:jc w:val="center"/>
        </w:trPr>
        <w:tc>
          <w:tcPr>
            <w:tcW w:w="638" w:type="dxa"/>
          </w:tcPr>
          <w:p w:rsidR="00C34794" w:rsidRPr="00B3156D" w:rsidRDefault="00C34794" w:rsidP="00AB171B">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C34794" w:rsidRPr="00B3156D" w:rsidRDefault="00C34794" w:rsidP="00AB171B">
            <w:pPr>
              <w:autoSpaceDE w:val="0"/>
              <w:autoSpaceDN w:val="0"/>
              <w:adjustRightInd w:val="0"/>
              <w:jc w:val="lowKashida"/>
              <w:rPr>
                <w:rFonts w:asciiTheme="majorBidi" w:hAnsiTheme="majorBidi" w:cstheme="majorBidi"/>
                <w:b/>
                <w:bCs/>
                <w:color w:val="000000"/>
                <w:sz w:val="20"/>
                <w:szCs w:val="20"/>
              </w:rPr>
            </w:pPr>
            <w:r w:rsidRPr="00B3156D">
              <w:rPr>
                <w:rFonts w:asciiTheme="majorBidi" w:hAnsiTheme="majorBidi" w:cstheme="majorBidi"/>
                <w:b/>
                <w:bCs/>
                <w:color w:val="000000"/>
                <w:sz w:val="20"/>
                <w:szCs w:val="20"/>
              </w:rPr>
              <w:t>Common Equity Tier 1 capital before regulatory adjustments</w:t>
            </w:r>
          </w:p>
        </w:tc>
        <w:tc>
          <w:tcPr>
            <w:tcW w:w="1473" w:type="dxa"/>
          </w:tcPr>
          <w:p w:rsidR="00C34794" w:rsidRPr="00B3156D" w:rsidRDefault="00FA00E1" w:rsidP="00AB171B">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13"/>
                  <w:enabled/>
                  <w:calcOnExit w:val="0"/>
                  <w:textInput/>
                </w:ffData>
              </w:fldChar>
            </w:r>
            <w:bookmarkStart w:id="5" w:name="Text13"/>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bookmarkEnd w:id="5"/>
          </w:p>
        </w:tc>
      </w:tr>
      <w:tr w:rsidR="00C34794" w:rsidRPr="00B3156D" w:rsidTr="00AB171B">
        <w:trPr>
          <w:jc w:val="center"/>
        </w:trPr>
        <w:tc>
          <w:tcPr>
            <w:tcW w:w="9221" w:type="dxa"/>
            <w:gridSpan w:val="3"/>
            <w:shd w:val="clear" w:color="auto" w:fill="D9D9D9" w:themeFill="background1" w:themeFillShade="D9"/>
          </w:tcPr>
          <w:p w:rsidR="00C34794" w:rsidRPr="00B3156D" w:rsidRDefault="00C34794" w:rsidP="00AB171B">
            <w:pPr>
              <w:autoSpaceDE w:val="0"/>
              <w:autoSpaceDN w:val="0"/>
              <w:adjustRightInd w:val="0"/>
              <w:jc w:val="center"/>
              <w:rPr>
                <w:rFonts w:asciiTheme="majorBidi" w:hAnsiTheme="majorBidi" w:cstheme="majorBidi"/>
                <w:b/>
                <w:bCs/>
                <w:color w:val="000000"/>
                <w:sz w:val="20"/>
                <w:szCs w:val="20"/>
              </w:rPr>
            </w:pPr>
            <w:r w:rsidRPr="00B3156D">
              <w:rPr>
                <w:rFonts w:asciiTheme="majorBidi" w:hAnsiTheme="majorBidi" w:cstheme="majorBidi"/>
                <w:b/>
                <w:bCs/>
                <w:color w:val="000000"/>
                <w:sz w:val="20"/>
                <w:szCs w:val="20"/>
              </w:rPr>
              <w:t>Common Equity Tier 1 capital: regulatory adjustments</w:t>
            </w:r>
          </w:p>
        </w:tc>
      </w:tr>
      <w:tr w:rsidR="00C34794" w:rsidRPr="00B3156D" w:rsidTr="00AB171B">
        <w:trPr>
          <w:jc w:val="center"/>
        </w:trPr>
        <w:tc>
          <w:tcPr>
            <w:tcW w:w="638" w:type="dxa"/>
          </w:tcPr>
          <w:p w:rsidR="00C34794" w:rsidRPr="00B3156D" w:rsidRDefault="00C34794" w:rsidP="00AB171B">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C34794" w:rsidRPr="00B3156D" w:rsidRDefault="00C34794" w:rsidP="00AB171B">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Prudential valuation adjustments</w:t>
            </w:r>
          </w:p>
        </w:tc>
        <w:tc>
          <w:tcPr>
            <w:tcW w:w="1473" w:type="dxa"/>
          </w:tcPr>
          <w:p w:rsidR="00C34794" w:rsidRPr="00B3156D" w:rsidRDefault="00B5577D" w:rsidP="00B16682">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
                  <w:enabled/>
                  <w:calcOnExit w:val="0"/>
                  <w:textInput/>
                </w:ffData>
              </w:fldChar>
            </w:r>
            <w:r>
              <w:rPr>
                <w:rFonts w:asciiTheme="majorBidi" w:hAnsiTheme="majorBidi" w:cstheme="majorBidi"/>
                <w:color w:val="000000"/>
                <w:sz w:val="20"/>
                <w:szCs w:val="20"/>
              </w:rPr>
              <w:instrText xml:space="preserve"> </w:instrText>
            </w:r>
            <w:bookmarkStart w:id="6" w:name="Text2"/>
            <w:r>
              <w:rPr>
                <w:rFonts w:asciiTheme="majorBidi" w:hAnsiTheme="majorBidi" w:cstheme="majorBidi"/>
                <w:color w:val="000000"/>
                <w:sz w:val="20"/>
                <w:szCs w:val="20"/>
              </w:rPr>
              <w:instrText xml:space="preserve">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sidR="00B16682">
              <w:rPr>
                <w:rFonts w:asciiTheme="majorBidi" w:hAnsiTheme="majorBidi" w:cstheme="majorBidi"/>
                <w:color w:val="000000"/>
                <w:sz w:val="20"/>
                <w:szCs w:val="20"/>
              </w:rPr>
              <w:t> </w:t>
            </w:r>
            <w:r w:rsidR="00B16682">
              <w:rPr>
                <w:rFonts w:asciiTheme="majorBidi" w:hAnsiTheme="majorBidi" w:cstheme="majorBidi"/>
                <w:color w:val="000000"/>
                <w:sz w:val="20"/>
                <w:szCs w:val="20"/>
              </w:rPr>
              <w:t> </w:t>
            </w:r>
            <w:r w:rsidR="00B16682">
              <w:rPr>
                <w:rFonts w:asciiTheme="majorBidi" w:hAnsiTheme="majorBidi" w:cstheme="majorBidi"/>
                <w:color w:val="000000"/>
                <w:sz w:val="20"/>
                <w:szCs w:val="20"/>
              </w:rPr>
              <w:t> </w:t>
            </w:r>
            <w:r w:rsidR="00B16682">
              <w:rPr>
                <w:rFonts w:asciiTheme="majorBidi" w:hAnsiTheme="majorBidi" w:cstheme="majorBidi"/>
                <w:color w:val="000000"/>
                <w:sz w:val="20"/>
                <w:szCs w:val="20"/>
              </w:rPr>
              <w:t> </w:t>
            </w:r>
            <w:r w:rsidR="00B16682">
              <w:rPr>
                <w:rFonts w:asciiTheme="majorBidi" w:hAnsiTheme="majorBidi" w:cstheme="majorBidi"/>
                <w:color w:val="000000"/>
                <w:sz w:val="20"/>
                <w:szCs w:val="20"/>
              </w:rPr>
              <w:t> </w:t>
            </w:r>
            <w:r>
              <w:rPr>
                <w:rFonts w:asciiTheme="majorBidi" w:hAnsiTheme="majorBidi" w:cstheme="majorBidi"/>
                <w:color w:val="000000"/>
                <w:sz w:val="20"/>
                <w:szCs w:val="20"/>
              </w:rPr>
              <w:fldChar w:fldCharType="end"/>
            </w:r>
            <w:bookmarkEnd w:id="6"/>
          </w:p>
        </w:tc>
      </w:tr>
      <w:tr w:rsidR="00C34794" w:rsidRPr="00B3156D" w:rsidTr="00AB171B">
        <w:trPr>
          <w:jc w:val="center"/>
        </w:trPr>
        <w:tc>
          <w:tcPr>
            <w:tcW w:w="638" w:type="dxa"/>
          </w:tcPr>
          <w:p w:rsidR="00C34794" w:rsidRPr="00B3156D" w:rsidRDefault="00C34794" w:rsidP="00AB171B">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C34794" w:rsidRPr="00B3156D" w:rsidRDefault="00C34794" w:rsidP="00AB171B">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Goodwill (net of related tax liability)</w:t>
            </w:r>
          </w:p>
        </w:tc>
        <w:tc>
          <w:tcPr>
            <w:tcW w:w="1473" w:type="dxa"/>
          </w:tcPr>
          <w:p w:rsidR="00C34794" w:rsidRPr="00B3156D" w:rsidRDefault="00FA00E1" w:rsidP="00B16682">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14"/>
                  <w:enabled/>
                  <w:calcOnExit w:val="0"/>
                  <w:textInput/>
                </w:ffData>
              </w:fldChar>
            </w:r>
            <w:bookmarkStart w:id="7" w:name="Text14"/>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sidR="00B16682">
              <w:rPr>
                <w:rFonts w:asciiTheme="majorBidi" w:hAnsiTheme="majorBidi" w:cstheme="majorBidi"/>
                <w:color w:val="000000"/>
                <w:sz w:val="20"/>
                <w:szCs w:val="20"/>
              </w:rPr>
              <w:t> </w:t>
            </w:r>
            <w:r w:rsidR="00B16682">
              <w:rPr>
                <w:rFonts w:asciiTheme="majorBidi" w:hAnsiTheme="majorBidi" w:cstheme="majorBidi"/>
                <w:color w:val="000000"/>
                <w:sz w:val="20"/>
                <w:szCs w:val="20"/>
              </w:rPr>
              <w:t> </w:t>
            </w:r>
            <w:r w:rsidR="00B16682">
              <w:rPr>
                <w:rFonts w:asciiTheme="majorBidi" w:hAnsiTheme="majorBidi" w:cstheme="majorBidi"/>
                <w:color w:val="000000"/>
                <w:sz w:val="20"/>
                <w:szCs w:val="20"/>
              </w:rPr>
              <w:t> </w:t>
            </w:r>
            <w:r w:rsidR="00B16682">
              <w:rPr>
                <w:rFonts w:asciiTheme="majorBidi" w:hAnsiTheme="majorBidi" w:cstheme="majorBidi"/>
                <w:color w:val="000000"/>
                <w:sz w:val="20"/>
                <w:szCs w:val="20"/>
              </w:rPr>
              <w:t> </w:t>
            </w:r>
            <w:r w:rsidR="00B16682">
              <w:rPr>
                <w:rFonts w:asciiTheme="majorBidi" w:hAnsiTheme="majorBidi" w:cstheme="majorBidi"/>
                <w:color w:val="000000"/>
                <w:sz w:val="20"/>
                <w:szCs w:val="20"/>
              </w:rPr>
              <w:t> </w:t>
            </w:r>
            <w:r>
              <w:rPr>
                <w:rFonts w:asciiTheme="majorBidi" w:hAnsiTheme="majorBidi" w:cstheme="majorBidi"/>
                <w:color w:val="000000"/>
                <w:sz w:val="20"/>
                <w:szCs w:val="20"/>
              </w:rPr>
              <w:fldChar w:fldCharType="end"/>
            </w:r>
            <w:bookmarkEnd w:id="7"/>
          </w:p>
        </w:tc>
      </w:tr>
      <w:tr w:rsidR="00C34794" w:rsidRPr="00B3156D" w:rsidTr="00AB171B">
        <w:trPr>
          <w:jc w:val="center"/>
        </w:trPr>
        <w:tc>
          <w:tcPr>
            <w:tcW w:w="638" w:type="dxa"/>
          </w:tcPr>
          <w:p w:rsidR="00C34794" w:rsidRPr="00B3156D" w:rsidRDefault="00C34794" w:rsidP="00AB171B">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C34794" w:rsidRPr="00B3156D" w:rsidRDefault="00C34794" w:rsidP="00AB171B">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Other intangibles other than mortgage-servicing rights (net of related tax liability)</w:t>
            </w:r>
          </w:p>
        </w:tc>
        <w:tc>
          <w:tcPr>
            <w:tcW w:w="1473" w:type="dxa"/>
          </w:tcPr>
          <w:p w:rsidR="00C34794" w:rsidRPr="00B3156D" w:rsidRDefault="00FA00E1" w:rsidP="00AB171B">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15"/>
                  <w:enabled/>
                  <w:calcOnExit w:val="0"/>
                  <w:textInput/>
                </w:ffData>
              </w:fldChar>
            </w:r>
            <w:bookmarkStart w:id="8" w:name="Text15"/>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bookmarkEnd w:id="8"/>
          </w:p>
        </w:tc>
      </w:tr>
      <w:tr w:rsidR="00C34794" w:rsidRPr="00B3156D" w:rsidTr="00AB171B">
        <w:trPr>
          <w:jc w:val="center"/>
        </w:trPr>
        <w:tc>
          <w:tcPr>
            <w:tcW w:w="638" w:type="dxa"/>
          </w:tcPr>
          <w:p w:rsidR="00C34794" w:rsidRPr="00B3156D" w:rsidRDefault="00C34794" w:rsidP="00AB171B">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C34794" w:rsidRPr="00B3156D" w:rsidRDefault="00C34794" w:rsidP="00AB171B">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Deferred tax assets that rely on future profitability excluding those arising from temporary differences (net of related tax liability)</w:t>
            </w:r>
          </w:p>
        </w:tc>
        <w:tc>
          <w:tcPr>
            <w:tcW w:w="1473" w:type="dxa"/>
          </w:tcPr>
          <w:p w:rsidR="00C34794" w:rsidRPr="00B3156D" w:rsidRDefault="00FA00E1" w:rsidP="00AB171B">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16"/>
                  <w:enabled/>
                  <w:calcOnExit w:val="0"/>
                  <w:textInput/>
                </w:ffData>
              </w:fldChar>
            </w:r>
            <w:bookmarkStart w:id="9" w:name="Text16"/>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bookmarkEnd w:id="9"/>
          </w:p>
        </w:tc>
      </w:tr>
      <w:tr w:rsidR="00C34794" w:rsidRPr="00B3156D" w:rsidTr="00AB171B">
        <w:trPr>
          <w:jc w:val="center"/>
        </w:trPr>
        <w:tc>
          <w:tcPr>
            <w:tcW w:w="638" w:type="dxa"/>
          </w:tcPr>
          <w:p w:rsidR="00C34794" w:rsidRPr="00B3156D" w:rsidRDefault="00C34794" w:rsidP="00AB171B">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C34794" w:rsidRPr="00B3156D" w:rsidRDefault="00C34794" w:rsidP="00AB171B">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Cash-flow hedge reserve</w:t>
            </w:r>
          </w:p>
        </w:tc>
        <w:tc>
          <w:tcPr>
            <w:tcW w:w="1473" w:type="dxa"/>
          </w:tcPr>
          <w:p w:rsidR="00C34794" w:rsidRPr="00B3156D" w:rsidRDefault="00FA00E1" w:rsidP="00AB171B">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17"/>
                  <w:enabled/>
                  <w:calcOnExit w:val="0"/>
                  <w:textInput/>
                </w:ffData>
              </w:fldChar>
            </w:r>
            <w:bookmarkStart w:id="10" w:name="Text17"/>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bookmarkEnd w:id="10"/>
          </w:p>
        </w:tc>
      </w:tr>
      <w:tr w:rsidR="00C34794" w:rsidRPr="00B3156D" w:rsidTr="00AB171B">
        <w:trPr>
          <w:jc w:val="center"/>
        </w:trPr>
        <w:tc>
          <w:tcPr>
            <w:tcW w:w="638" w:type="dxa"/>
          </w:tcPr>
          <w:p w:rsidR="00C34794" w:rsidRPr="00B3156D" w:rsidRDefault="00C34794" w:rsidP="00AB171B">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C34794" w:rsidRPr="00B3156D" w:rsidRDefault="00C34794" w:rsidP="00AB171B">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Shortfall of provisions to expected losses</w:t>
            </w:r>
          </w:p>
        </w:tc>
        <w:tc>
          <w:tcPr>
            <w:tcW w:w="1473" w:type="dxa"/>
          </w:tcPr>
          <w:p w:rsidR="00C34794" w:rsidRPr="00B3156D" w:rsidRDefault="00FA00E1" w:rsidP="00AB171B">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18"/>
                  <w:enabled/>
                  <w:calcOnExit w:val="0"/>
                  <w:textInput/>
                </w:ffData>
              </w:fldChar>
            </w:r>
            <w:bookmarkStart w:id="11" w:name="Text18"/>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bookmarkEnd w:id="11"/>
          </w:p>
        </w:tc>
      </w:tr>
      <w:tr w:rsidR="00C34794" w:rsidRPr="00B3156D" w:rsidTr="00AB171B">
        <w:trPr>
          <w:jc w:val="center"/>
        </w:trPr>
        <w:tc>
          <w:tcPr>
            <w:tcW w:w="638" w:type="dxa"/>
          </w:tcPr>
          <w:p w:rsidR="00C34794" w:rsidRPr="00B3156D" w:rsidRDefault="00C34794" w:rsidP="00AB171B">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C34794" w:rsidRPr="00B3156D" w:rsidRDefault="00C34794" w:rsidP="00AB171B">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Securitisation gain on sale (as set out in paragraph 562 of Basel II framework)</w:t>
            </w:r>
          </w:p>
        </w:tc>
        <w:tc>
          <w:tcPr>
            <w:tcW w:w="1473" w:type="dxa"/>
          </w:tcPr>
          <w:p w:rsidR="00C34794" w:rsidRPr="00B3156D" w:rsidRDefault="00FA00E1" w:rsidP="00AB171B">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19"/>
                  <w:enabled/>
                  <w:calcOnExit w:val="0"/>
                  <w:textInput/>
                </w:ffData>
              </w:fldChar>
            </w:r>
            <w:bookmarkStart w:id="12" w:name="Text19"/>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bookmarkEnd w:id="12"/>
          </w:p>
        </w:tc>
      </w:tr>
      <w:tr w:rsidR="00C34794" w:rsidRPr="00B3156D" w:rsidTr="00AB171B">
        <w:trPr>
          <w:jc w:val="center"/>
        </w:trPr>
        <w:tc>
          <w:tcPr>
            <w:tcW w:w="638" w:type="dxa"/>
          </w:tcPr>
          <w:p w:rsidR="00C34794" w:rsidRPr="00B3156D" w:rsidRDefault="00C34794" w:rsidP="00AB171B">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C34794" w:rsidRPr="00B3156D" w:rsidRDefault="00C34794" w:rsidP="00AB171B">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t>Not applicable</w:t>
            </w:r>
          </w:p>
        </w:tc>
        <w:tc>
          <w:tcPr>
            <w:tcW w:w="1473" w:type="dxa"/>
            <w:shd w:val="clear" w:color="auto" w:fill="595959" w:themeFill="text1" w:themeFillTint="A6"/>
          </w:tcPr>
          <w:p w:rsidR="00C34794" w:rsidRPr="00B3156D" w:rsidRDefault="00C34794" w:rsidP="00AB171B">
            <w:pPr>
              <w:autoSpaceDE w:val="0"/>
              <w:autoSpaceDN w:val="0"/>
              <w:adjustRightInd w:val="0"/>
              <w:jc w:val="lowKashida"/>
              <w:rPr>
                <w:rFonts w:asciiTheme="majorBidi" w:hAnsiTheme="majorBidi" w:cstheme="majorBidi"/>
                <w:color w:val="000000"/>
                <w:sz w:val="20"/>
                <w:szCs w:val="20"/>
              </w:rPr>
            </w:pPr>
          </w:p>
        </w:tc>
      </w:tr>
      <w:tr w:rsidR="00C34794" w:rsidRPr="00B3156D" w:rsidTr="00AB171B">
        <w:trPr>
          <w:jc w:val="center"/>
        </w:trPr>
        <w:tc>
          <w:tcPr>
            <w:tcW w:w="638" w:type="dxa"/>
          </w:tcPr>
          <w:p w:rsidR="00C34794" w:rsidRPr="00B3156D" w:rsidRDefault="00C34794" w:rsidP="00AB171B">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C34794" w:rsidRPr="00B3156D" w:rsidRDefault="00C34794" w:rsidP="00AB171B">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Defined-benefit pension fund net assets</w:t>
            </w:r>
          </w:p>
        </w:tc>
        <w:tc>
          <w:tcPr>
            <w:tcW w:w="1473" w:type="dxa"/>
          </w:tcPr>
          <w:p w:rsidR="00C34794" w:rsidRPr="00B3156D" w:rsidRDefault="00FA00E1" w:rsidP="00AB171B">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0"/>
                  <w:enabled/>
                  <w:calcOnExit w:val="0"/>
                  <w:textInput/>
                </w:ffData>
              </w:fldChar>
            </w:r>
            <w:bookmarkStart w:id="13" w:name="Text20"/>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bookmarkEnd w:id="13"/>
          </w:p>
        </w:tc>
      </w:tr>
      <w:tr w:rsidR="00C34794" w:rsidRPr="00B3156D" w:rsidTr="00AB171B">
        <w:trPr>
          <w:jc w:val="center"/>
        </w:trPr>
        <w:tc>
          <w:tcPr>
            <w:tcW w:w="638" w:type="dxa"/>
          </w:tcPr>
          <w:p w:rsidR="00C34794" w:rsidRPr="00B3156D" w:rsidRDefault="00C34794" w:rsidP="00AB171B">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C34794" w:rsidRPr="00B3156D" w:rsidRDefault="00C34794" w:rsidP="00AB171B">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Investments in own shares</w:t>
            </w:r>
          </w:p>
        </w:tc>
        <w:tc>
          <w:tcPr>
            <w:tcW w:w="1473" w:type="dxa"/>
          </w:tcPr>
          <w:p w:rsidR="00C34794" w:rsidRPr="00B3156D" w:rsidRDefault="00FA00E1" w:rsidP="00AB171B">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1"/>
                  <w:enabled/>
                  <w:calcOnExit w:val="0"/>
                  <w:textInput/>
                </w:ffData>
              </w:fldChar>
            </w:r>
            <w:bookmarkStart w:id="14" w:name="Text21"/>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bookmarkEnd w:id="14"/>
          </w:p>
        </w:tc>
      </w:tr>
      <w:tr w:rsidR="00C34794" w:rsidRPr="00B3156D" w:rsidTr="00AB171B">
        <w:trPr>
          <w:jc w:val="center"/>
        </w:trPr>
        <w:tc>
          <w:tcPr>
            <w:tcW w:w="638" w:type="dxa"/>
          </w:tcPr>
          <w:p w:rsidR="00C34794" w:rsidRPr="00B3156D" w:rsidRDefault="00C34794" w:rsidP="00AB171B">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C34794" w:rsidRPr="00B3156D" w:rsidRDefault="00C34794" w:rsidP="00AB171B">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Reciprocal cross-holdings in common equity</w:t>
            </w:r>
          </w:p>
        </w:tc>
        <w:tc>
          <w:tcPr>
            <w:tcW w:w="1473" w:type="dxa"/>
          </w:tcPr>
          <w:p w:rsidR="00C34794" w:rsidRPr="00B3156D" w:rsidRDefault="00FA00E1" w:rsidP="00AB171B">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bookmarkStart w:id="15" w:name="Text22"/>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bookmarkEnd w:id="15"/>
          </w:p>
        </w:tc>
      </w:tr>
      <w:tr w:rsidR="00C34794" w:rsidRPr="00B3156D" w:rsidTr="00AB171B">
        <w:trPr>
          <w:jc w:val="center"/>
        </w:trPr>
        <w:tc>
          <w:tcPr>
            <w:tcW w:w="638" w:type="dxa"/>
          </w:tcPr>
          <w:p w:rsidR="00C34794" w:rsidRPr="00B3156D" w:rsidRDefault="00C34794" w:rsidP="00AB171B">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C34794" w:rsidRPr="00B3156D" w:rsidRDefault="00C34794" w:rsidP="00AB171B">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Investments in the capital of banking, financial and insurance entities that are outside the scope of</w:t>
            </w:r>
            <w:r>
              <w:rPr>
                <w:rFonts w:asciiTheme="majorBidi" w:hAnsiTheme="majorBidi" w:cstheme="majorBidi"/>
                <w:color w:val="000000"/>
                <w:sz w:val="20"/>
                <w:szCs w:val="20"/>
              </w:rPr>
              <w:t xml:space="preserve"> </w:t>
            </w:r>
            <w:r w:rsidRPr="00B3156D">
              <w:rPr>
                <w:rFonts w:asciiTheme="majorBidi" w:hAnsiTheme="majorBidi" w:cstheme="majorBidi"/>
                <w:color w:val="000000"/>
                <w:sz w:val="20"/>
                <w:szCs w:val="20"/>
              </w:rPr>
              <w:t>regulatory consolidation, net of eligible short positions, where the bank does not own more than 10% of the issued share capital (amount above 10% threshold)</w:t>
            </w:r>
          </w:p>
        </w:tc>
        <w:tc>
          <w:tcPr>
            <w:tcW w:w="1473" w:type="dxa"/>
          </w:tcPr>
          <w:p w:rsidR="00C34794" w:rsidRPr="00B3156D" w:rsidRDefault="00FA00E1" w:rsidP="00AB171B">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C34794" w:rsidRPr="00B3156D" w:rsidTr="00AB171B">
        <w:trPr>
          <w:jc w:val="center"/>
        </w:trPr>
        <w:tc>
          <w:tcPr>
            <w:tcW w:w="638" w:type="dxa"/>
          </w:tcPr>
          <w:p w:rsidR="00C34794" w:rsidRPr="00B3156D" w:rsidRDefault="00C34794" w:rsidP="00AB171B">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C34794" w:rsidRPr="00B3156D" w:rsidRDefault="00C34794" w:rsidP="00AB171B">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Significant investments in the common stock of banking, financial and insurance entities that are outside the scope of regulatory consolidation, net of eligible short positions (amount above 10% threshold)</w:t>
            </w:r>
          </w:p>
        </w:tc>
        <w:tc>
          <w:tcPr>
            <w:tcW w:w="1473" w:type="dxa"/>
          </w:tcPr>
          <w:p w:rsidR="00C34794" w:rsidRPr="00B3156D" w:rsidRDefault="00FA00E1" w:rsidP="00AB171B">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C34794" w:rsidRPr="00B3156D" w:rsidTr="00AB171B">
        <w:trPr>
          <w:jc w:val="center"/>
        </w:trPr>
        <w:tc>
          <w:tcPr>
            <w:tcW w:w="638" w:type="dxa"/>
          </w:tcPr>
          <w:p w:rsidR="00C34794" w:rsidRPr="00B3156D" w:rsidRDefault="00C34794" w:rsidP="00AB171B">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C34794" w:rsidRPr="00B3156D" w:rsidRDefault="00C34794" w:rsidP="00AB171B">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Mortgage servicing rights (amount above 10% threshold)</w:t>
            </w:r>
          </w:p>
        </w:tc>
        <w:tc>
          <w:tcPr>
            <w:tcW w:w="1473" w:type="dxa"/>
          </w:tcPr>
          <w:p w:rsidR="00C34794" w:rsidRPr="00B3156D" w:rsidRDefault="00FA00E1" w:rsidP="00AB171B">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C34794" w:rsidRPr="00B3156D" w:rsidTr="00AB171B">
        <w:trPr>
          <w:jc w:val="center"/>
        </w:trPr>
        <w:tc>
          <w:tcPr>
            <w:tcW w:w="638" w:type="dxa"/>
          </w:tcPr>
          <w:p w:rsidR="00C34794" w:rsidRPr="00B3156D" w:rsidRDefault="00C34794" w:rsidP="00AB171B">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C34794" w:rsidRPr="00B3156D" w:rsidRDefault="00C34794" w:rsidP="00AB171B">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Deferred tax assets arising from temporary differences (amount above 10% threshold, net of related tax liability)</w:t>
            </w:r>
          </w:p>
        </w:tc>
        <w:tc>
          <w:tcPr>
            <w:tcW w:w="1473" w:type="dxa"/>
          </w:tcPr>
          <w:p w:rsidR="00C34794" w:rsidRPr="00B3156D" w:rsidRDefault="00FA00E1" w:rsidP="00AB171B">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C34794" w:rsidRPr="00B3156D" w:rsidTr="00AB171B">
        <w:trPr>
          <w:jc w:val="center"/>
        </w:trPr>
        <w:tc>
          <w:tcPr>
            <w:tcW w:w="638" w:type="dxa"/>
          </w:tcPr>
          <w:p w:rsidR="00C34794" w:rsidRPr="00B3156D" w:rsidRDefault="00C34794" w:rsidP="00AB171B">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C34794" w:rsidRPr="00B3156D" w:rsidRDefault="00C34794" w:rsidP="00AB171B">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Amount exceeding the 15% threshold</w:t>
            </w:r>
          </w:p>
        </w:tc>
        <w:tc>
          <w:tcPr>
            <w:tcW w:w="1473" w:type="dxa"/>
          </w:tcPr>
          <w:p w:rsidR="00C34794" w:rsidRPr="00B3156D" w:rsidRDefault="00FA00E1" w:rsidP="00AB171B">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3156D" w:rsidRDefault="00FA00E1" w:rsidP="00FA00E1">
            <w:pPr>
              <w:autoSpaceDE w:val="0"/>
              <w:autoSpaceDN w:val="0"/>
              <w:adjustRightInd w:val="0"/>
              <w:ind w:left="425" w:hanging="425"/>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ab/>
              <w:t>of which: significant investments in the common stock of financials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3156D" w:rsidRDefault="00FA00E1" w:rsidP="00FA00E1">
            <w:pPr>
              <w:autoSpaceDE w:val="0"/>
              <w:autoSpaceDN w:val="0"/>
              <w:adjustRightInd w:val="0"/>
              <w:ind w:left="425" w:hanging="425"/>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ab/>
              <w:t>of which: mortgage servicing rights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3156D" w:rsidRDefault="00FA00E1" w:rsidP="00FA00E1">
            <w:pPr>
              <w:autoSpaceDE w:val="0"/>
              <w:autoSpaceDN w:val="0"/>
              <w:adjustRightInd w:val="0"/>
              <w:ind w:left="425" w:hanging="425"/>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ab/>
              <w:t>of which: deferred tax assets arising from temporary differences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t xml:space="preserve">CBB </w:t>
            </w:r>
            <w:r w:rsidRPr="00B3156D">
              <w:rPr>
                <w:rFonts w:asciiTheme="majorBidi" w:hAnsiTheme="majorBidi" w:cstheme="majorBidi"/>
                <w:color w:val="000000"/>
                <w:sz w:val="20"/>
                <w:szCs w:val="20"/>
              </w:rPr>
              <w:t>specific regulatory adjustments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Borders>
              <w:bottom w:val="single" w:sz="4" w:space="0" w:color="auto"/>
            </w:tcBorders>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Regulatory adjustments applied to Common Equity Tier 1 due to insufficient Additional Tier 1 and Tier 2 to cover deductions</w:t>
            </w:r>
          </w:p>
        </w:tc>
        <w:tc>
          <w:tcPr>
            <w:tcW w:w="1473" w:type="dxa"/>
            <w:tcBorders>
              <w:bottom w:val="single" w:sz="4" w:space="0" w:color="auto"/>
            </w:tcBorders>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Borders>
              <w:bottom w:val="single" w:sz="18" w:space="0" w:color="auto"/>
            </w:tcBorders>
            <w:shd w:val="clear" w:color="auto" w:fill="F2F2F2" w:themeFill="background1" w:themeFillShade="F2"/>
          </w:tcPr>
          <w:p w:rsidR="00FA00E1" w:rsidRPr="00B3156D" w:rsidRDefault="00FA00E1" w:rsidP="00FA00E1">
            <w:pPr>
              <w:autoSpaceDE w:val="0"/>
              <w:autoSpaceDN w:val="0"/>
              <w:adjustRightInd w:val="0"/>
              <w:jc w:val="lowKashida"/>
              <w:rPr>
                <w:rFonts w:asciiTheme="majorBidi" w:hAnsiTheme="majorBidi" w:cstheme="majorBidi"/>
                <w:b/>
                <w:bCs/>
                <w:color w:val="000000"/>
                <w:sz w:val="20"/>
                <w:szCs w:val="20"/>
              </w:rPr>
            </w:pPr>
            <w:r w:rsidRPr="00B3156D">
              <w:rPr>
                <w:rFonts w:asciiTheme="majorBidi" w:hAnsiTheme="majorBidi" w:cstheme="majorBidi"/>
                <w:b/>
                <w:bCs/>
                <w:color w:val="000000"/>
                <w:sz w:val="20"/>
                <w:szCs w:val="20"/>
              </w:rPr>
              <w:t>Total regulatory adjustments to Common equity Tier 1</w:t>
            </w:r>
          </w:p>
        </w:tc>
        <w:tc>
          <w:tcPr>
            <w:tcW w:w="1473" w:type="dxa"/>
            <w:tcBorders>
              <w:bottom w:val="single" w:sz="18" w:space="0" w:color="auto"/>
            </w:tcBorders>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Borders>
              <w:top w:val="single" w:sz="18" w:space="0" w:color="auto"/>
              <w:right w:val="single" w:sz="18" w:space="0" w:color="auto"/>
            </w:tcBorders>
          </w:tcPr>
          <w:p w:rsidR="00FA00E1" w:rsidRPr="00B3156D" w:rsidRDefault="00FA00E1" w:rsidP="00FA00E1">
            <w:pPr>
              <w:autoSpaceDE w:val="0"/>
              <w:autoSpaceDN w:val="0"/>
              <w:adjustRightInd w:val="0"/>
              <w:jc w:val="lowKashida"/>
              <w:rPr>
                <w:rFonts w:asciiTheme="majorBidi" w:hAnsiTheme="majorBidi" w:cstheme="majorBidi"/>
                <w:b/>
                <w:bCs/>
                <w:color w:val="000000"/>
                <w:sz w:val="20"/>
                <w:szCs w:val="20"/>
              </w:rPr>
            </w:pPr>
            <w:r w:rsidRPr="00B3156D">
              <w:rPr>
                <w:rFonts w:asciiTheme="majorBidi" w:hAnsiTheme="majorBidi" w:cstheme="majorBidi"/>
                <w:b/>
                <w:bCs/>
                <w:color w:val="000000"/>
                <w:sz w:val="20"/>
                <w:szCs w:val="20"/>
              </w:rPr>
              <w:t>Common Equity Tier 1 capital (CET1)</w:t>
            </w:r>
          </w:p>
        </w:tc>
        <w:tc>
          <w:tcPr>
            <w:tcW w:w="1473" w:type="dxa"/>
            <w:tcBorders>
              <w:top w:val="single" w:sz="18" w:space="0" w:color="auto"/>
              <w:left w:val="single" w:sz="18" w:space="0" w:color="auto"/>
            </w:tcBorders>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9221" w:type="dxa"/>
            <w:gridSpan w:val="3"/>
            <w:shd w:val="clear" w:color="auto" w:fill="D9D9D9" w:themeFill="background1" w:themeFillShade="D9"/>
          </w:tcPr>
          <w:p w:rsidR="00FA00E1" w:rsidRPr="00B3156D" w:rsidRDefault="00FA00E1" w:rsidP="00FA00E1">
            <w:pPr>
              <w:autoSpaceDE w:val="0"/>
              <w:autoSpaceDN w:val="0"/>
              <w:adjustRightInd w:val="0"/>
              <w:jc w:val="center"/>
              <w:rPr>
                <w:rFonts w:asciiTheme="majorBidi" w:hAnsiTheme="majorBidi" w:cstheme="majorBidi"/>
                <w:b/>
                <w:bCs/>
                <w:color w:val="000000"/>
                <w:sz w:val="20"/>
                <w:szCs w:val="20"/>
              </w:rPr>
            </w:pPr>
            <w:r w:rsidRPr="00B3156D">
              <w:rPr>
                <w:rFonts w:asciiTheme="majorBidi" w:hAnsiTheme="majorBidi" w:cstheme="majorBidi"/>
                <w:b/>
                <w:bCs/>
                <w:color w:val="000000"/>
                <w:sz w:val="20"/>
                <w:szCs w:val="20"/>
              </w:rPr>
              <w:t>Additional Tier 1 capital: instruments</w:t>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Directly issued qualifying Additional Tier 1 instruments plus related stock surplus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3"/>
                  <w:enabled/>
                  <w:calcOnExit w:val="0"/>
                  <w:textInput/>
                </w:ffData>
              </w:fldChar>
            </w:r>
            <w:r>
              <w:rPr>
                <w:rFonts w:asciiTheme="majorBidi" w:hAnsiTheme="majorBidi" w:cstheme="majorBidi"/>
                <w:color w:val="000000"/>
                <w:sz w:val="20"/>
                <w:szCs w:val="20"/>
              </w:rPr>
              <w:instrText xml:space="preserve"> </w:instrText>
            </w:r>
            <w:bookmarkStart w:id="16" w:name="Text3"/>
            <w:r>
              <w:rPr>
                <w:rFonts w:asciiTheme="majorBidi" w:hAnsiTheme="majorBidi" w:cstheme="majorBidi"/>
                <w:color w:val="000000"/>
                <w:sz w:val="20"/>
                <w:szCs w:val="20"/>
              </w:rPr>
              <w:instrText xml:space="preserve">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bookmarkEnd w:id="16"/>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3156D" w:rsidRDefault="00FA00E1" w:rsidP="00FA00E1">
            <w:pPr>
              <w:autoSpaceDE w:val="0"/>
              <w:autoSpaceDN w:val="0"/>
              <w:adjustRightInd w:val="0"/>
              <w:ind w:left="425" w:hanging="425"/>
              <w:jc w:val="lowKashida"/>
              <w:rPr>
                <w:rFonts w:asciiTheme="majorBidi" w:hAnsiTheme="majorBidi" w:cstheme="majorBidi"/>
                <w:color w:val="000000"/>
                <w:sz w:val="20"/>
                <w:szCs w:val="20"/>
              </w:rPr>
            </w:pPr>
            <w:r>
              <w:rPr>
                <w:rFonts w:asciiTheme="majorBidi" w:hAnsiTheme="majorBidi" w:cstheme="majorBidi"/>
                <w:color w:val="000000"/>
                <w:sz w:val="20"/>
                <w:szCs w:val="20"/>
              </w:rPr>
              <w:tab/>
            </w:r>
            <w:r w:rsidRPr="00B3156D">
              <w:rPr>
                <w:rFonts w:asciiTheme="majorBidi" w:hAnsiTheme="majorBidi" w:cstheme="majorBidi"/>
                <w:color w:val="000000"/>
                <w:sz w:val="20"/>
                <w:szCs w:val="20"/>
              </w:rPr>
              <w:t>of which: classified as equity under applicable accounting standards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3156D" w:rsidRDefault="00FA00E1" w:rsidP="00FA00E1">
            <w:pPr>
              <w:autoSpaceDE w:val="0"/>
              <w:autoSpaceDN w:val="0"/>
              <w:adjustRightInd w:val="0"/>
              <w:ind w:left="425" w:hanging="425"/>
              <w:jc w:val="lowKashida"/>
              <w:rPr>
                <w:rFonts w:asciiTheme="majorBidi" w:hAnsiTheme="majorBidi" w:cstheme="majorBidi"/>
                <w:color w:val="000000"/>
                <w:sz w:val="20"/>
                <w:szCs w:val="20"/>
              </w:rPr>
            </w:pPr>
            <w:r>
              <w:rPr>
                <w:rFonts w:asciiTheme="majorBidi" w:hAnsiTheme="majorBidi" w:cstheme="majorBidi"/>
                <w:color w:val="000000"/>
                <w:sz w:val="20"/>
                <w:szCs w:val="20"/>
              </w:rPr>
              <w:tab/>
            </w:r>
            <w:r w:rsidRPr="00B3156D">
              <w:rPr>
                <w:rFonts w:asciiTheme="majorBidi" w:hAnsiTheme="majorBidi" w:cstheme="majorBidi"/>
                <w:color w:val="000000"/>
                <w:sz w:val="20"/>
                <w:szCs w:val="20"/>
              </w:rPr>
              <w:t>of which: classified as liabilities under applicable accounting standards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AC47A3" w:rsidRDefault="00FA00E1" w:rsidP="00FA00E1">
            <w:pPr>
              <w:autoSpaceDE w:val="0"/>
              <w:autoSpaceDN w:val="0"/>
              <w:adjustRightInd w:val="0"/>
              <w:jc w:val="lowKashida"/>
              <w:rPr>
                <w:rFonts w:asciiTheme="majorBidi" w:hAnsiTheme="majorBidi" w:cstheme="majorBidi"/>
                <w:i/>
                <w:iCs/>
                <w:color w:val="000000"/>
                <w:sz w:val="20"/>
                <w:szCs w:val="20"/>
              </w:rPr>
            </w:pPr>
            <w:r w:rsidRPr="00B3156D">
              <w:rPr>
                <w:rFonts w:asciiTheme="majorBidi" w:hAnsiTheme="majorBidi" w:cstheme="majorBidi"/>
                <w:i/>
                <w:iCs/>
                <w:color w:val="000000"/>
                <w:sz w:val="20"/>
                <w:szCs w:val="20"/>
              </w:rPr>
              <w:t>Directly issued capital instruments subject to phase out from Additional Tier 1</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Additional Tier 1 instruments (and CET1 instruments not included in row 5) issued by subsidiaries and held by third parties (amount allowed in group AT1)</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AC47A3" w:rsidRDefault="00FA00E1" w:rsidP="00FA00E1">
            <w:pPr>
              <w:autoSpaceDE w:val="0"/>
              <w:autoSpaceDN w:val="0"/>
              <w:adjustRightInd w:val="0"/>
              <w:ind w:left="425" w:hanging="425"/>
              <w:jc w:val="lowKashida"/>
              <w:rPr>
                <w:rFonts w:asciiTheme="majorBidi" w:hAnsiTheme="majorBidi" w:cstheme="majorBidi"/>
                <w:i/>
                <w:iCs/>
                <w:color w:val="000000"/>
                <w:sz w:val="20"/>
                <w:szCs w:val="20"/>
              </w:rPr>
            </w:pPr>
            <w:r>
              <w:rPr>
                <w:rFonts w:asciiTheme="majorBidi" w:hAnsiTheme="majorBidi" w:cstheme="majorBidi"/>
                <w:i/>
                <w:iCs/>
                <w:color w:val="000000"/>
                <w:sz w:val="20"/>
                <w:szCs w:val="20"/>
              </w:rPr>
              <w:tab/>
            </w:r>
            <w:r w:rsidRPr="00B3156D">
              <w:rPr>
                <w:rFonts w:asciiTheme="majorBidi" w:hAnsiTheme="majorBidi" w:cstheme="majorBidi"/>
                <w:i/>
                <w:iCs/>
                <w:color w:val="000000"/>
                <w:sz w:val="20"/>
                <w:szCs w:val="20"/>
              </w:rPr>
              <w:t>of which: instruments issued by subsidiaries subject to phase out</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shd w:val="clear" w:color="auto" w:fill="F2F2F2" w:themeFill="background1" w:themeFillShade="F2"/>
          </w:tcPr>
          <w:p w:rsidR="00FA00E1" w:rsidRPr="00AC47A3" w:rsidRDefault="00FA00E1" w:rsidP="00FA00E1">
            <w:pPr>
              <w:autoSpaceDE w:val="0"/>
              <w:autoSpaceDN w:val="0"/>
              <w:adjustRightInd w:val="0"/>
              <w:jc w:val="lowKashida"/>
              <w:rPr>
                <w:rFonts w:asciiTheme="majorBidi" w:hAnsiTheme="majorBidi" w:cstheme="majorBidi"/>
                <w:b/>
                <w:bCs/>
                <w:color w:val="000000"/>
                <w:sz w:val="20"/>
                <w:szCs w:val="20"/>
              </w:rPr>
            </w:pPr>
            <w:r w:rsidRPr="00B3156D">
              <w:rPr>
                <w:rFonts w:asciiTheme="majorBidi" w:hAnsiTheme="majorBidi" w:cstheme="majorBidi"/>
                <w:b/>
                <w:bCs/>
                <w:color w:val="000000"/>
                <w:sz w:val="20"/>
                <w:szCs w:val="20"/>
              </w:rPr>
              <w:t>Additional Tier 1 capital before regulatory adjustments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9221" w:type="dxa"/>
            <w:gridSpan w:val="3"/>
            <w:shd w:val="clear" w:color="auto" w:fill="D9D9D9" w:themeFill="background1" w:themeFillShade="D9"/>
          </w:tcPr>
          <w:p w:rsidR="00FA00E1" w:rsidRPr="00AC47A3" w:rsidRDefault="00FA00E1" w:rsidP="00FA00E1">
            <w:pPr>
              <w:autoSpaceDE w:val="0"/>
              <w:autoSpaceDN w:val="0"/>
              <w:adjustRightInd w:val="0"/>
              <w:jc w:val="center"/>
              <w:rPr>
                <w:rFonts w:asciiTheme="majorBidi" w:hAnsiTheme="majorBidi" w:cstheme="majorBidi"/>
                <w:b/>
                <w:bCs/>
                <w:color w:val="000000"/>
                <w:sz w:val="20"/>
                <w:szCs w:val="20"/>
              </w:rPr>
            </w:pPr>
            <w:r w:rsidRPr="00B3156D">
              <w:rPr>
                <w:rFonts w:asciiTheme="majorBidi" w:hAnsiTheme="majorBidi" w:cstheme="majorBidi"/>
                <w:b/>
                <w:bCs/>
                <w:color w:val="000000"/>
                <w:sz w:val="20"/>
                <w:szCs w:val="20"/>
              </w:rPr>
              <w:t>Additional Tier 1 capital: regulatory adjustments</w:t>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Investments in own Additional Tier 1 instruments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4"/>
                  <w:enabled/>
                  <w:calcOnExit w:val="0"/>
                  <w:textInput/>
                </w:ffData>
              </w:fldChar>
            </w:r>
            <w:r>
              <w:rPr>
                <w:rFonts w:asciiTheme="majorBidi" w:hAnsiTheme="majorBidi" w:cstheme="majorBidi"/>
                <w:color w:val="000000"/>
                <w:sz w:val="20"/>
                <w:szCs w:val="20"/>
              </w:rPr>
              <w:instrText xml:space="preserve"> </w:instrText>
            </w:r>
            <w:bookmarkStart w:id="17" w:name="Text4"/>
            <w:r>
              <w:rPr>
                <w:rFonts w:asciiTheme="majorBidi" w:hAnsiTheme="majorBidi" w:cstheme="majorBidi"/>
                <w:color w:val="000000"/>
                <w:sz w:val="20"/>
                <w:szCs w:val="20"/>
              </w:rPr>
              <w:instrText xml:space="preserve">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bookmarkEnd w:id="17"/>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Reciprocal cross-holdings in Additional Tier 1 instruments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Investments in the capital of banking, financial and insurance entities that are outside the scope of regulatory consolidation, net of eligible short positions, where the bank does not own more than 10% of the issued common share capital of the entity (amount above 10% threshold)</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Significant investments in the capital of banking, financial and insurance entities that are outside the scope of regulatory consolidation (net of eligible short positions)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t xml:space="preserve">CBB </w:t>
            </w:r>
            <w:r w:rsidRPr="00B3156D">
              <w:rPr>
                <w:rFonts w:asciiTheme="majorBidi" w:hAnsiTheme="majorBidi" w:cstheme="majorBidi"/>
                <w:color w:val="000000"/>
                <w:sz w:val="20"/>
                <w:szCs w:val="20"/>
              </w:rPr>
              <w:t>specific regulatory adjustments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Regulatory adjustments applied to Additional Tier 1 due to insufficient Tier 2 to cover deductions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Borders>
              <w:bottom w:val="single" w:sz="18" w:space="0" w:color="auto"/>
            </w:tcBorders>
            <w:shd w:val="clear" w:color="auto" w:fill="F2F2F2" w:themeFill="background1" w:themeFillShade="F2"/>
          </w:tcPr>
          <w:p w:rsidR="00FA00E1" w:rsidRPr="0090321A" w:rsidRDefault="00FA00E1" w:rsidP="00FA00E1">
            <w:pPr>
              <w:autoSpaceDE w:val="0"/>
              <w:autoSpaceDN w:val="0"/>
              <w:adjustRightInd w:val="0"/>
              <w:jc w:val="lowKashida"/>
              <w:rPr>
                <w:rFonts w:asciiTheme="majorBidi" w:hAnsiTheme="majorBidi" w:cstheme="majorBidi"/>
                <w:b/>
                <w:bCs/>
                <w:color w:val="000000"/>
                <w:sz w:val="20"/>
                <w:szCs w:val="20"/>
              </w:rPr>
            </w:pPr>
            <w:r w:rsidRPr="00B3156D">
              <w:rPr>
                <w:rFonts w:asciiTheme="majorBidi" w:hAnsiTheme="majorBidi" w:cstheme="majorBidi"/>
                <w:b/>
                <w:bCs/>
                <w:color w:val="000000"/>
                <w:sz w:val="20"/>
                <w:szCs w:val="20"/>
              </w:rPr>
              <w:t>Total regulatory adjustments to Additional Tier 1 capital</w:t>
            </w:r>
          </w:p>
        </w:tc>
        <w:tc>
          <w:tcPr>
            <w:tcW w:w="1473" w:type="dxa"/>
            <w:tcBorders>
              <w:bottom w:val="single" w:sz="18" w:space="0" w:color="auto"/>
            </w:tcBorders>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Borders>
              <w:right w:val="single" w:sz="18" w:space="0" w:color="auto"/>
            </w:tcBorders>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FA00E1" w:rsidRPr="0090321A" w:rsidRDefault="00FA00E1" w:rsidP="00FA00E1">
            <w:pPr>
              <w:autoSpaceDE w:val="0"/>
              <w:autoSpaceDN w:val="0"/>
              <w:adjustRightInd w:val="0"/>
              <w:jc w:val="lowKashida"/>
              <w:rPr>
                <w:rFonts w:asciiTheme="majorBidi" w:hAnsiTheme="majorBidi" w:cstheme="majorBidi"/>
                <w:b/>
                <w:bCs/>
                <w:color w:val="000000"/>
                <w:sz w:val="20"/>
                <w:szCs w:val="20"/>
              </w:rPr>
            </w:pPr>
            <w:r w:rsidRPr="00B3156D">
              <w:rPr>
                <w:rFonts w:asciiTheme="majorBidi" w:hAnsiTheme="majorBidi" w:cstheme="majorBidi"/>
                <w:b/>
                <w:bCs/>
                <w:color w:val="000000"/>
                <w:sz w:val="20"/>
                <w:szCs w:val="20"/>
              </w:rPr>
              <w:t>Additional Tier 1 capital (AT1)</w:t>
            </w:r>
          </w:p>
        </w:tc>
        <w:tc>
          <w:tcPr>
            <w:tcW w:w="1473" w:type="dxa"/>
            <w:tcBorders>
              <w:top w:val="single" w:sz="18" w:space="0" w:color="auto"/>
              <w:left w:val="single" w:sz="18" w:space="0" w:color="auto"/>
              <w:bottom w:val="single" w:sz="18" w:space="0" w:color="auto"/>
              <w:right w:val="single" w:sz="18" w:space="0" w:color="auto"/>
            </w:tcBorders>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780194"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Borders>
              <w:top w:val="single" w:sz="18" w:space="0" w:color="auto"/>
              <w:right w:val="single" w:sz="18" w:space="0" w:color="auto"/>
            </w:tcBorders>
            <w:shd w:val="clear" w:color="auto" w:fill="F2F2F2" w:themeFill="background1" w:themeFillShade="F2"/>
          </w:tcPr>
          <w:p w:rsidR="00FA00E1" w:rsidRPr="003819BF" w:rsidRDefault="00FA00E1" w:rsidP="00FA00E1">
            <w:pPr>
              <w:autoSpaceDE w:val="0"/>
              <w:autoSpaceDN w:val="0"/>
              <w:adjustRightInd w:val="0"/>
              <w:jc w:val="lowKashida"/>
              <w:rPr>
                <w:rFonts w:asciiTheme="majorBidi" w:hAnsiTheme="majorBidi" w:cstheme="majorBidi"/>
                <w:b/>
                <w:bCs/>
                <w:color w:val="000000"/>
                <w:sz w:val="20"/>
                <w:szCs w:val="20"/>
                <w:lang w:val="fr-CA"/>
              </w:rPr>
            </w:pPr>
            <w:r w:rsidRPr="003819BF">
              <w:rPr>
                <w:rFonts w:asciiTheme="majorBidi" w:hAnsiTheme="majorBidi" w:cstheme="majorBidi"/>
                <w:b/>
                <w:bCs/>
                <w:color w:val="000000"/>
                <w:sz w:val="20"/>
                <w:szCs w:val="20"/>
                <w:lang w:val="fr-CA"/>
              </w:rPr>
              <w:t>Tier 1 capital (T1 = CET1 + AT1)</w:t>
            </w:r>
          </w:p>
        </w:tc>
        <w:tc>
          <w:tcPr>
            <w:tcW w:w="1473" w:type="dxa"/>
            <w:tcBorders>
              <w:top w:val="single" w:sz="18" w:space="0" w:color="auto"/>
              <w:left w:val="single" w:sz="18" w:space="0" w:color="auto"/>
            </w:tcBorders>
          </w:tcPr>
          <w:p w:rsidR="00FA00E1" w:rsidRPr="003819BF" w:rsidRDefault="00FA00E1" w:rsidP="00FA00E1">
            <w:pPr>
              <w:autoSpaceDE w:val="0"/>
              <w:autoSpaceDN w:val="0"/>
              <w:adjustRightInd w:val="0"/>
              <w:jc w:val="lowKashida"/>
              <w:rPr>
                <w:rFonts w:asciiTheme="majorBidi" w:hAnsiTheme="majorBidi" w:cstheme="majorBidi"/>
                <w:color w:val="000000"/>
                <w:sz w:val="20"/>
                <w:szCs w:val="20"/>
                <w:lang w:val="fr-CA"/>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9221" w:type="dxa"/>
            <w:gridSpan w:val="3"/>
            <w:shd w:val="clear" w:color="auto" w:fill="D9D9D9" w:themeFill="background1" w:themeFillShade="D9"/>
          </w:tcPr>
          <w:p w:rsidR="00FA00E1" w:rsidRPr="0083580A" w:rsidRDefault="00FA00E1" w:rsidP="00FA00E1">
            <w:pPr>
              <w:autoSpaceDE w:val="0"/>
              <w:autoSpaceDN w:val="0"/>
              <w:adjustRightInd w:val="0"/>
              <w:jc w:val="center"/>
              <w:rPr>
                <w:rFonts w:asciiTheme="majorBidi" w:hAnsiTheme="majorBidi" w:cstheme="majorBidi"/>
                <w:b/>
                <w:bCs/>
                <w:color w:val="000000"/>
                <w:sz w:val="20"/>
                <w:szCs w:val="20"/>
              </w:rPr>
            </w:pPr>
            <w:r w:rsidRPr="00B3156D">
              <w:rPr>
                <w:rFonts w:asciiTheme="majorBidi" w:hAnsiTheme="majorBidi" w:cstheme="majorBidi"/>
                <w:b/>
                <w:bCs/>
                <w:color w:val="000000"/>
                <w:sz w:val="20"/>
                <w:szCs w:val="20"/>
              </w:rPr>
              <w:t>Tier 2 capital: instruments and provisions</w:t>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Directly issued qualifying Tier 2 instruments plus related stock surplus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5"/>
                  <w:enabled/>
                  <w:calcOnExit w:val="0"/>
                  <w:textInput/>
                </w:ffData>
              </w:fldChar>
            </w:r>
            <w:r>
              <w:rPr>
                <w:rFonts w:asciiTheme="majorBidi" w:hAnsiTheme="majorBidi" w:cstheme="majorBidi"/>
                <w:color w:val="000000"/>
                <w:sz w:val="20"/>
                <w:szCs w:val="20"/>
              </w:rPr>
              <w:instrText xml:space="preserve"> </w:instrText>
            </w:r>
            <w:bookmarkStart w:id="18" w:name="Text5"/>
            <w:r>
              <w:rPr>
                <w:rFonts w:asciiTheme="majorBidi" w:hAnsiTheme="majorBidi" w:cstheme="majorBidi"/>
                <w:color w:val="000000"/>
                <w:sz w:val="20"/>
                <w:szCs w:val="20"/>
              </w:rPr>
              <w:instrText xml:space="preserve">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bookmarkEnd w:id="18"/>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83580A" w:rsidRDefault="00FA00E1" w:rsidP="00FA00E1">
            <w:pPr>
              <w:autoSpaceDE w:val="0"/>
              <w:autoSpaceDN w:val="0"/>
              <w:adjustRightInd w:val="0"/>
              <w:jc w:val="lowKashida"/>
              <w:rPr>
                <w:rFonts w:asciiTheme="majorBidi" w:hAnsiTheme="majorBidi" w:cstheme="majorBidi"/>
                <w:i/>
                <w:iCs/>
                <w:color w:val="000000"/>
                <w:sz w:val="20"/>
                <w:szCs w:val="20"/>
              </w:rPr>
            </w:pPr>
            <w:r w:rsidRPr="00B3156D">
              <w:rPr>
                <w:rFonts w:asciiTheme="majorBidi" w:hAnsiTheme="majorBidi" w:cstheme="majorBidi"/>
                <w:i/>
                <w:iCs/>
                <w:color w:val="000000"/>
                <w:sz w:val="20"/>
                <w:szCs w:val="20"/>
              </w:rPr>
              <w:t>Directly issued capital instruments subject to phase out from Tier 2</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Tier 2 instruments (and CET1 and AT1 instruments not included in rows 5 or 34) issued by subsidiaries and held by third parties (amount allowed in group Tier 2)</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83580A" w:rsidRDefault="00FA00E1" w:rsidP="00FA00E1">
            <w:pPr>
              <w:autoSpaceDE w:val="0"/>
              <w:autoSpaceDN w:val="0"/>
              <w:adjustRightInd w:val="0"/>
              <w:ind w:left="425" w:hanging="425"/>
              <w:jc w:val="lowKashida"/>
              <w:rPr>
                <w:rFonts w:asciiTheme="majorBidi" w:hAnsiTheme="majorBidi" w:cstheme="majorBidi"/>
                <w:i/>
                <w:iCs/>
                <w:color w:val="000000"/>
                <w:sz w:val="20"/>
                <w:szCs w:val="20"/>
              </w:rPr>
            </w:pPr>
            <w:r>
              <w:rPr>
                <w:rFonts w:asciiTheme="majorBidi" w:hAnsiTheme="majorBidi" w:cstheme="majorBidi"/>
                <w:i/>
                <w:iCs/>
                <w:color w:val="000000"/>
                <w:sz w:val="20"/>
                <w:szCs w:val="20"/>
              </w:rPr>
              <w:tab/>
            </w:r>
            <w:r w:rsidRPr="00B3156D">
              <w:rPr>
                <w:rFonts w:asciiTheme="majorBidi" w:hAnsiTheme="majorBidi" w:cstheme="majorBidi"/>
                <w:i/>
                <w:iCs/>
                <w:color w:val="000000"/>
                <w:sz w:val="20"/>
                <w:szCs w:val="20"/>
              </w:rPr>
              <w:t>of which: instruments issued by subsidiaries subject to phase out</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83580A"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Provisions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shd w:val="clear" w:color="auto" w:fill="F2F2F2" w:themeFill="background1" w:themeFillShade="F2"/>
          </w:tcPr>
          <w:p w:rsidR="00FA00E1" w:rsidRPr="0083580A" w:rsidRDefault="00FA00E1" w:rsidP="00FA00E1">
            <w:pPr>
              <w:autoSpaceDE w:val="0"/>
              <w:autoSpaceDN w:val="0"/>
              <w:adjustRightInd w:val="0"/>
              <w:jc w:val="lowKashida"/>
              <w:rPr>
                <w:rFonts w:asciiTheme="majorBidi" w:hAnsiTheme="majorBidi" w:cstheme="majorBidi"/>
                <w:b/>
                <w:bCs/>
                <w:color w:val="000000"/>
                <w:sz w:val="20"/>
                <w:szCs w:val="20"/>
              </w:rPr>
            </w:pPr>
            <w:r w:rsidRPr="00B3156D">
              <w:rPr>
                <w:rFonts w:asciiTheme="majorBidi" w:hAnsiTheme="majorBidi" w:cstheme="majorBidi"/>
                <w:b/>
                <w:bCs/>
                <w:color w:val="000000"/>
                <w:sz w:val="20"/>
                <w:szCs w:val="20"/>
              </w:rPr>
              <w:t>Tier 2 capital before regulatory adjustments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9221" w:type="dxa"/>
            <w:gridSpan w:val="3"/>
            <w:shd w:val="clear" w:color="auto" w:fill="D9D9D9" w:themeFill="background1" w:themeFillShade="D9"/>
          </w:tcPr>
          <w:p w:rsidR="00FA00E1" w:rsidRPr="00714ED3" w:rsidRDefault="00FA00E1" w:rsidP="00FA00E1">
            <w:pPr>
              <w:autoSpaceDE w:val="0"/>
              <w:autoSpaceDN w:val="0"/>
              <w:adjustRightInd w:val="0"/>
              <w:jc w:val="center"/>
              <w:rPr>
                <w:rFonts w:asciiTheme="majorBidi" w:hAnsiTheme="majorBidi" w:cstheme="majorBidi"/>
                <w:b/>
                <w:bCs/>
                <w:color w:val="000000"/>
                <w:sz w:val="20"/>
                <w:szCs w:val="20"/>
              </w:rPr>
            </w:pPr>
            <w:r w:rsidRPr="00B3156D">
              <w:rPr>
                <w:rFonts w:asciiTheme="majorBidi" w:hAnsiTheme="majorBidi" w:cstheme="majorBidi"/>
                <w:b/>
                <w:bCs/>
                <w:color w:val="000000"/>
                <w:sz w:val="20"/>
                <w:szCs w:val="20"/>
              </w:rPr>
              <w:t>Tier 2 capital: regulatory adjustments</w:t>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768C6"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Investments in own Tier 2 instruments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6"/>
                  <w:enabled/>
                  <w:calcOnExit w:val="0"/>
                  <w:textInput/>
                </w:ffData>
              </w:fldChar>
            </w:r>
            <w:r>
              <w:rPr>
                <w:rFonts w:asciiTheme="majorBidi" w:hAnsiTheme="majorBidi" w:cstheme="majorBidi"/>
                <w:color w:val="000000"/>
                <w:sz w:val="20"/>
                <w:szCs w:val="20"/>
              </w:rPr>
              <w:instrText xml:space="preserve"> </w:instrText>
            </w:r>
            <w:bookmarkStart w:id="19" w:name="Text6"/>
            <w:r>
              <w:rPr>
                <w:rFonts w:asciiTheme="majorBidi" w:hAnsiTheme="majorBidi" w:cstheme="majorBidi"/>
                <w:color w:val="000000"/>
                <w:sz w:val="20"/>
                <w:szCs w:val="20"/>
              </w:rPr>
              <w:instrText xml:space="preserve">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bookmarkEnd w:id="19"/>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768C6"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Reciprocal cross-holdings in Tier 2 instruments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768C6"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Investments in the capital of banking, financial and insurance entities that are outside the scope of regulatory consolidation, net of eligible short positions, where the bank does not own more than 10% of the issued common share capital of the entity (amount above the 10% threshold)</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768C6"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Significant investments in the capital banking, financial and insurance entities that are outside the scope of regulatory consolidation (net of eligible short positions)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768C6"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National specific regulatory adjustments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Borders>
              <w:bottom w:val="single" w:sz="18" w:space="0" w:color="auto"/>
            </w:tcBorders>
            <w:shd w:val="clear" w:color="auto" w:fill="F2F2F2" w:themeFill="background1" w:themeFillShade="F2"/>
          </w:tcPr>
          <w:p w:rsidR="00FA00E1" w:rsidRPr="00B768C6" w:rsidRDefault="00FA00E1" w:rsidP="00FA00E1">
            <w:pPr>
              <w:autoSpaceDE w:val="0"/>
              <w:autoSpaceDN w:val="0"/>
              <w:adjustRightInd w:val="0"/>
              <w:jc w:val="lowKashida"/>
              <w:rPr>
                <w:rFonts w:asciiTheme="majorBidi" w:hAnsiTheme="majorBidi" w:cstheme="majorBidi"/>
                <w:b/>
                <w:bCs/>
                <w:color w:val="000000"/>
                <w:sz w:val="20"/>
                <w:szCs w:val="20"/>
              </w:rPr>
            </w:pPr>
            <w:r w:rsidRPr="00B3156D">
              <w:rPr>
                <w:rFonts w:asciiTheme="majorBidi" w:hAnsiTheme="majorBidi" w:cstheme="majorBidi"/>
                <w:b/>
                <w:bCs/>
                <w:color w:val="000000"/>
                <w:sz w:val="20"/>
                <w:szCs w:val="20"/>
              </w:rPr>
              <w:t>Total regulatory adjustments to Tier 2 capital</w:t>
            </w:r>
          </w:p>
        </w:tc>
        <w:tc>
          <w:tcPr>
            <w:tcW w:w="1473" w:type="dxa"/>
            <w:tcBorders>
              <w:bottom w:val="single" w:sz="18" w:space="0" w:color="auto"/>
            </w:tcBorders>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Borders>
              <w:right w:val="single" w:sz="18" w:space="0" w:color="auto"/>
            </w:tcBorders>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FA00E1" w:rsidRPr="00B768C6" w:rsidRDefault="00FA00E1" w:rsidP="00FA00E1">
            <w:pPr>
              <w:autoSpaceDE w:val="0"/>
              <w:autoSpaceDN w:val="0"/>
              <w:adjustRightInd w:val="0"/>
              <w:jc w:val="lowKashida"/>
              <w:rPr>
                <w:rFonts w:asciiTheme="majorBidi" w:hAnsiTheme="majorBidi" w:cstheme="majorBidi"/>
                <w:b/>
                <w:bCs/>
                <w:color w:val="000000"/>
                <w:sz w:val="20"/>
                <w:szCs w:val="20"/>
              </w:rPr>
            </w:pPr>
            <w:r w:rsidRPr="00B3156D">
              <w:rPr>
                <w:rFonts w:asciiTheme="majorBidi" w:hAnsiTheme="majorBidi" w:cstheme="majorBidi"/>
                <w:b/>
                <w:bCs/>
                <w:color w:val="000000"/>
                <w:sz w:val="20"/>
                <w:szCs w:val="20"/>
              </w:rPr>
              <w:t>Tier 2 capital (T2)</w:t>
            </w:r>
          </w:p>
        </w:tc>
        <w:tc>
          <w:tcPr>
            <w:tcW w:w="1473" w:type="dxa"/>
            <w:tcBorders>
              <w:top w:val="single" w:sz="18" w:space="0" w:color="auto"/>
              <w:left w:val="single" w:sz="18" w:space="0" w:color="auto"/>
              <w:bottom w:val="single" w:sz="18" w:space="0" w:color="auto"/>
              <w:right w:val="single" w:sz="18" w:space="0" w:color="auto"/>
            </w:tcBorders>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780194" w:rsidTr="00AB171B">
        <w:trPr>
          <w:jc w:val="center"/>
        </w:trPr>
        <w:tc>
          <w:tcPr>
            <w:tcW w:w="638" w:type="dxa"/>
            <w:tcBorders>
              <w:right w:val="single" w:sz="18" w:space="0" w:color="auto"/>
            </w:tcBorders>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FA00E1" w:rsidRPr="003819BF" w:rsidRDefault="00FA00E1" w:rsidP="00FA00E1">
            <w:pPr>
              <w:autoSpaceDE w:val="0"/>
              <w:autoSpaceDN w:val="0"/>
              <w:adjustRightInd w:val="0"/>
              <w:jc w:val="lowKashida"/>
              <w:rPr>
                <w:rFonts w:asciiTheme="majorBidi" w:hAnsiTheme="majorBidi" w:cstheme="majorBidi"/>
                <w:b/>
                <w:bCs/>
                <w:color w:val="000000"/>
                <w:sz w:val="20"/>
                <w:szCs w:val="20"/>
                <w:lang w:val="fr-CA"/>
              </w:rPr>
            </w:pPr>
            <w:r w:rsidRPr="003819BF">
              <w:rPr>
                <w:rFonts w:asciiTheme="majorBidi" w:hAnsiTheme="majorBidi" w:cstheme="majorBidi"/>
                <w:b/>
                <w:bCs/>
                <w:color w:val="000000"/>
                <w:sz w:val="20"/>
                <w:szCs w:val="20"/>
                <w:lang w:val="fr-CA"/>
              </w:rPr>
              <w:t>Total capital (TC = T1 + T2)</w:t>
            </w:r>
          </w:p>
        </w:tc>
        <w:tc>
          <w:tcPr>
            <w:tcW w:w="1473" w:type="dxa"/>
            <w:tcBorders>
              <w:top w:val="single" w:sz="18" w:space="0" w:color="auto"/>
              <w:left w:val="single" w:sz="18" w:space="0" w:color="auto"/>
              <w:bottom w:val="single" w:sz="18" w:space="0" w:color="auto"/>
              <w:right w:val="single" w:sz="18" w:space="0" w:color="auto"/>
            </w:tcBorders>
          </w:tcPr>
          <w:p w:rsidR="00FA00E1" w:rsidRPr="003819BF" w:rsidRDefault="00FA00E1" w:rsidP="00FA00E1">
            <w:pPr>
              <w:autoSpaceDE w:val="0"/>
              <w:autoSpaceDN w:val="0"/>
              <w:adjustRightInd w:val="0"/>
              <w:jc w:val="lowKashida"/>
              <w:rPr>
                <w:rFonts w:asciiTheme="majorBidi" w:hAnsiTheme="majorBidi" w:cstheme="majorBidi"/>
                <w:color w:val="000000"/>
                <w:sz w:val="20"/>
                <w:szCs w:val="20"/>
                <w:lang w:val="fr-CA"/>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3819BF"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lang w:val="fr-CA"/>
              </w:rPr>
            </w:pPr>
          </w:p>
        </w:tc>
        <w:tc>
          <w:tcPr>
            <w:tcW w:w="7110" w:type="dxa"/>
            <w:tcBorders>
              <w:top w:val="single" w:sz="18" w:space="0" w:color="auto"/>
              <w:right w:val="single" w:sz="18" w:space="0" w:color="auto"/>
            </w:tcBorders>
            <w:shd w:val="clear" w:color="auto" w:fill="F2F2F2" w:themeFill="background1" w:themeFillShade="F2"/>
          </w:tcPr>
          <w:p w:rsidR="00FA00E1" w:rsidRPr="00B768C6" w:rsidRDefault="00FA00E1" w:rsidP="00FA00E1">
            <w:pPr>
              <w:autoSpaceDE w:val="0"/>
              <w:autoSpaceDN w:val="0"/>
              <w:adjustRightInd w:val="0"/>
              <w:jc w:val="lowKashida"/>
              <w:rPr>
                <w:rFonts w:asciiTheme="majorBidi" w:hAnsiTheme="majorBidi" w:cstheme="majorBidi"/>
                <w:b/>
                <w:bCs/>
                <w:color w:val="000000"/>
                <w:sz w:val="20"/>
                <w:szCs w:val="20"/>
              </w:rPr>
            </w:pPr>
            <w:r w:rsidRPr="00B3156D">
              <w:rPr>
                <w:rFonts w:asciiTheme="majorBidi" w:hAnsiTheme="majorBidi" w:cstheme="majorBidi"/>
                <w:b/>
                <w:bCs/>
                <w:color w:val="000000"/>
                <w:sz w:val="20"/>
                <w:szCs w:val="20"/>
              </w:rPr>
              <w:t>Total risk weighted assets</w:t>
            </w:r>
          </w:p>
        </w:tc>
        <w:tc>
          <w:tcPr>
            <w:tcW w:w="1473" w:type="dxa"/>
            <w:tcBorders>
              <w:top w:val="single" w:sz="18" w:space="0" w:color="auto"/>
              <w:left w:val="single" w:sz="18" w:space="0" w:color="auto"/>
            </w:tcBorders>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9221" w:type="dxa"/>
            <w:gridSpan w:val="3"/>
            <w:shd w:val="clear" w:color="auto" w:fill="D9D9D9" w:themeFill="background1" w:themeFillShade="D9"/>
          </w:tcPr>
          <w:p w:rsidR="00FA00E1" w:rsidRPr="000C258C" w:rsidRDefault="00FA00E1" w:rsidP="00FA00E1">
            <w:pPr>
              <w:autoSpaceDE w:val="0"/>
              <w:autoSpaceDN w:val="0"/>
              <w:adjustRightInd w:val="0"/>
              <w:jc w:val="center"/>
              <w:rPr>
                <w:rFonts w:asciiTheme="majorBidi" w:hAnsiTheme="majorBidi" w:cstheme="majorBidi"/>
                <w:b/>
                <w:bCs/>
                <w:color w:val="000000"/>
                <w:sz w:val="20"/>
                <w:szCs w:val="20"/>
              </w:rPr>
            </w:pPr>
            <w:r w:rsidRPr="00B3156D">
              <w:rPr>
                <w:rFonts w:asciiTheme="majorBidi" w:hAnsiTheme="majorBidi" w:cstheme="majorBidi"/>
                <w:b/>
                <w:bCs/>
                <w:color w:val="000000"/>
                <w:sz w:val="20"/>
                <w:szCs w:val="20"/>
              </w:rPr>
              <w:t>Capital ratios and buffers</w:t>
            </w:r>
          </w:p>
        </w:tc>
      </w:tr>
      <w:tr w:rsidR="00FA00E1" w:rsidRPr="00B3156D" w:rsidTr="00AB171B">
        <w:trPr>
          <w:jc w:val="center"/>
        </w:trPr>
        <w:tc>
          <w:tcPr>
            <w:tcW w:w="638" w:type="dxa"/>
            <w:tcBorders>
              <w:right w:val="single" w:sz="18" w:space="0" w:color="auto"/>
            </w:tcBorders>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FA00E1" w:rsidRPr="000C258C"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Common Equity Tier 1 (as a percentage of risk weighted assets)</w:t>
            </w:r>
          </w:p>
        </w:tc>
        <w:tc>
          <w:tcPr>
            <w:tcW w:w="1473" w:type="dxa"/>
            <w:tcBorders>
              <w:top w:val="single" w:sz="18" w:space="0" w:color="auto"/>
              <w:left w:val="single" w:sz="18" w:space="0" w:color="auto"/>
              <w:bottom w:val="single" w:sz="18" w:space="0" w:color="auto"/>
              <w:right w:val="single" w:sz="18" w:space="0" w:color="auto"/>
            </w:tcBorders>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7"/>
                  <w:enabled/>
                  <w:calcOnExit w:val="0"/>
                  <w:textInput/>
                </w:ffData>
              </w:fldChar>
            </w:r>
            <w:r>
              <w:rPr>
                <w:rFonts w:asciiTheme="majorBidi" w:hAnsiTheme="majorBidi" w:cstheme="majorBidi"/>
                <w:color w:val="000000"/>
                <w:sz w:val="20"/>
                <w:szCs w:val="20"/>
              </w:rPr>
              <w:instrText xml:space="preserve"> </w:instrText>
            </w:r>
            <w:bookmarkStart w:id="20" w:name="Text7"/>
            <w:r>
              <w:rPr>
                <w:rFonts w:asciiTheme="majorBidi" w:hAnsiTheme="majorBidi" w:cstheme="majorBidi"/>
                <w:color w:val="000000"/>
                <w:sz w:val="20"/>
                <w:szCs w:val="20"/>
              </w:rPr>
              <w:instrText xml:space="preserve">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bookmarkEnd w:id="20"/>
          </w:p>
        </w:tc>
      </w:tr>
      <w:tr w:rsidR="00FA00E1" w:rsidRPr="00B3156D" w:rsidTr="00AB171B">
        <w:trPr>
          <w:jc w:val="center"/>
        </w:trPr>
        <w:tc>
          <w:tcPr>
            <w:tcW w:w="638" w:type="dxa"/>
            <w:tcBorders>
              <w:right w:val="single" w:sz="18" w:space="0" w:color="auto"/>
            </w:tcBorders>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FA00E1" w:rsidRPr="000C258C"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Tier 1 (as a percentage of risk weighted assets)</w:t>
            </w:r>
          </w:p>
        </w:tc>
        <w:tc>
          <w:tcPr>
            <w:tcW w:w="1473" w:type="dxa"/>
            <w:tcBorders>
              <w:top w:val="single" w:sz="18" w:space="0" w:color="auto"/>
              <w:left w:val="single" w:sz="18" w:space="0" w:color="auto"/>
              <w:bottom w:val="single" w:sz="18" w:space="0" w:color="auto"/>
              <w:right w:val="single" w:sz="18" w:space="0" w:color="auto"/>
            </w:tcBorders>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Borders>
              <w:right w:val="single" w:sz="18" w:space="0" w:color="auto"/>
            </w:tcBorders>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FA00E1" w:rsidRPr="000C258C"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Total capital (as a percentage of risk weighted assets)</w:t>
            </w:r>
          </w:p>
        </w:tc>
        <w:tc>
          <w:tcPr>
            <w:tcW w:w="1473" w:type="dxa"/>
            <w:tcBorders>
              <w:top w:val="single" w:sz="18" w:space="0" w:color="auto"/>
              <w:left w:val="single" w:sz="18" w:space="0" w:color="auto"/>
              <w:bottom w:val="single" w:sz="18" w:space="0" w:color="auto"/>
              <w:right w:val="single" w:sz="18" w:space="0" w:color="auto"/>
            </w:tcBorders>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Borders>
              <w:right w:val="single" w:sz="18" w:space="0" w:color="auto"/>
            </w:tcBorders>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FA00E1" w:rsidRPr="000C258C"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 xml:space="preserve">Institution specific buffer requirement (minimum CET1 requirement plus capital conservation buffer plus countercyclical buffer requirements plus </w:t>
            </w:r>
            <w:r>
              <w:rPr>
                <w:rFonts w:asciiTheme="majorBidi" w:hAnsiTheme="majorBidi" w:cstheme="majorBidi"/>
                <w:color w:val="000000"/>
                <w:sz w:val="20"/>
                <w:szCs w:val="20"/>
              </w:rPr>
              <w:t>D</w:t>
            </w:r>
            <w:r w:rsidRPr="00B3156D">
              <w:rPr>
                <w:rFonts w:asciiTheme="majorBidi" w:hAnsiTheme="majorBidi" w:cstheme="majorBidi"/>
                <w:color w:val="000000"/>
                <w:sz w:val="20"/>
                <w:szCs w:val="20"/>
              </w:rPr>
              <w:t>-SIB buffer requirement, expressed as a percentage of risk weighted assets)</w:t>
            </w:r>
          </w:p>
        </w:tc>
        <w:tc>
          <w:tcPr>
            <w:tcW w:w="1473" w:type="dxa"/>
            <w:tcBorders>
              <w:top w:val="single" w:sz="18" w:space="0" w:color="auto"/>
              <w:left w:val="single" w:sz="18" w:space="0" w:color="auto"/>
              <w:bottom w:val="single" w:sz="18" w:space="0" w:color="auto"/>
              <w:right w:val="single" w:sz="18" w:space="0" w:color="auto"/>
            </w:tcBorders>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Borders>
              <w:top w:val="single" w:sz="18" w:space="0" w:color="auto"/>
            </w:tcBorders>
          </w:tcPr>
          <w:p w:rsidR="00FA00E1" w:rsidRPr="00D328BF" w:rsidRDefault="00FA00E1" w:rsidP="00FA00E1">
            <w:pPr>
              <w:autoSpaceDE w:val="0"/>
              <w:autoSpaceDN w:val="0"/>
              <w:adjustRightInd w:val="0"/>
              <w:ind w:left="425" w:hanging="425"/>
              <w:jc w:val="lowKashida"/>
              <w:rPr>
                <w:rFonts w:asciiTheme="majorBidi" w:hAnsiTheme="majorBidi" w:cstheme="majorBidi"/>
                <w:iCs/>
                <w:color w:val="000000"/>
                <w:sz w:val="20"/>
                <w:szCs w:val="20"/>
              </w:rPr>
            </w:pPr>
            <w:r w:rsidRPr="00D328BF">
              <w:rPr>
                <w:rFonts w:asciiTheme="majorBidi" w:hAnsiTheme="majorBidi" w:cstheme="majorBidi"/>
                <w:iCs/>
                <w:color w:val="000000"/>
                <w:sz w:val="20"/>
                <w:szCs w:val="20"/>
              </w:rPr>
              <w:tab/>
              <w:t>of which: capital conservation buffer requirement</w:t>
            </w:r>
          </w:p>
        </w:tc>
        <w:tc>
          <w:tcPr>
            <w:tcW w:w="1473" w:type="dxa"/>
            <w:tcBorders>
              <w:top w:val="single" w:sz="18" w:space="0" w:color="auto"/>
            </w:tcBorders>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t>2.5</w:t>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D328BF" w:rsidRDefault="00FA00E1" w:rsidP="00FA00E1">
            <w:pPr>
              <w:autoSpaceDE w:val="0"/>
              <w:autoSpaceDN w:val="0"/>
              <w:adjustRightInd w:val="0"/>
              <w:ind w:left="425" w:hanging="425"/>
              <w:jc w:val="lowKashida"/>
              <w:rPr>
                <w:rFonts w:asciiTheme="majorBidi" w:hAnsiTheme="majorBidi" w:cstheme="majorBidi"/>
                <w:iCs/>
                <w:color w:val="000000"/>
                <w:sz w:val="20"/>
                <w:szCs w:val="20"/>
              </w:rPr>
            </w:pPr>
            <w:r w:rsidRPr="00D328BF">
              <w:rPr>
                <w:rFonts w:asciiTheme="majorBidi" w:hAnsiTheme="majorBidi" w:cstheme="majorBidi"/>
                <w:iCs/>
                <w:color w:val="000000"/>
                <w:sz w:val="20"/>
                <w:szCs w:val="20"/>
              </w:rPr>
              <w:tab/>
              <w:t>of which: bank specific countercyclical buffer requirement</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t>N/A</w:t>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Borders>
              <w:bottom w:val="single" w:sz="18" w:space="0" w:color="auto"/>
            </w:tcBorders>
          </w:tcPr>
          <w:p w:rsidR="00FA00E1" w:rsidRPr="00D328BF" w:rsidRDefault="00FA00E1" w:rsidP="00FA00E1">
            <w:pPr>
              <w:autoSpaceDE w:val="0"/>
              <w:autoSpaceDN w:val="0"/>
              <w:adjustRightInd w:val="0"/>
              <w:ind w:left="425" w:hanging="425"/>
              <w:jc w:val="lowKashida"/>
              <w:rPr>
                <w:rFonts w:asciiTheme="majorBidi" w:hAnsiTheme="majorBidi" w:cstheme="majorBidi"/>
                <w:iCs/>
                <w:color w:val="000000"/>
                <w:sz w:val="20"/>
                <w:szCs w:val="20"/>
              </w:rPr>
            </w:pPr>
            <w:r w:rsidRPr="00D328BF">
              <w:rPr>
                <w:rFonts w:asciiTheme="majorBidi" w:hAnsiTheme="majorBidi" w:cstheme="majorBidi"/>
                <w:iCs/>
                <w:color w:val="000000"/>
                <w:sz w:val="20"/>
                <w:szCs w:val="20"/>
              </w:rPr>
              <w:tab/>
              <w:t xml:space="preserve">of which: </w:t>
            </w:r>
            <w:r>
              <w:rPr>
                <w:rFonts w:asciiTheme="majorBidi" w:hAnsiTheme="majorBidi" w:cstheme="majorBidi"/>
                <w:iCs/>
                <w:color w:val="000000"/>
                <w:sz w:val="20"/>
                <w:szCs w:val="20"/>
              </w:rPr>
              <w:t>D</w:t>
            </w:r>
            <w:r w:rsidRPr="00D328BF">
              <w:rPr>
                <w:rFonts w:asciiTheme="majorBidi" w:hAnsiTheme="majorBidi" w:cstheme="majorBidi"/>
                <w:iCs/>
                <w:color w:val="000000"/>
                <w:sz w:val="20"/>
                <w:szCs w:val="20"/>
              </w:rPr>
              <w:t>-SIB buffer requirement</w:t>
            </w:r>
          </w:p>
        </w:tc>
        <w:tc>
          <w:tcPr>
            <w:tcW w:w="1473" w:type="dxa"/>
            <w:tcBorders>
              <w:bottom w:val="single" w:sz="18" w:space="0" w:color="auto"/>
            </w:tcBorders>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t>N/A</w:t>
            </w:r>
          </w:p>
        </w:tc>
      </w:tr>
      <w:tr w:rsidR="00FA00E1" w:rsidRPr="00B3156D" w:rsidTr="00AB171B">
        <w:trPr>
          <w:jc w:val="center"/>
        </w:trPr>
        <w:tc>
          <w:tcPr>
            <w:tcW w:w="638" w:type="dxa"/>
            <w:tcBorders>
              <w:right w:val="single" w:sz="18" w:space="0" w:color="auto"/>
            </w:tcBorders>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FA00E1" w:rsidRPr="000C258C"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Common Equity Tier 1 available to meet buffers (as a percentage of risk weighted assets)</w:t>
            </w:r>
          </w:p>
        </w:tc>
        <w:tc>
          <w:tcPr>
            <w:tcW w:w="1473" w:type="dxa"/>
            <w:tcBorders>
              <w:top w:val="single" w:sz="18" w:space="0" w:color="auto"/>
              <w:left w:val="single" w:sz="18" w:space="0" w:color="auto"/>
              <w:bottom w:val="single" w:sz="18" w:space="0" w:color="auto"/>
              <w:right w:val="single" w:sz="18" w:space="0" w:color="auto"/>
            </w:tcBorders>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8"/>
                  <w:enabled/>
                  <w:calcOnExit w:val="0"/>
                  <w:textInput/>
                </w:ffData>
              </w:fldChar>
            </w:r>
            <w:bookmarkStart w:id="21" w:name="Text8"/>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bookmarkEnd w:id="21"/>
          </w:p>
        </w:tc>
      </w:tr>
      <w:tr w:rsidR="00FA00E1" w:rsidRPr="00B3156D" w:rsidTr="00AB171B">
        <w:trPr>
          <w:jc w:val="center"/>
        </w:trPr>
        <w:tc>
          <w:tcPr>
            <w:tcW w:w="9221" w:type="dxa"/>
            <w:gridSpan w:val="3"/>
            <w:shd w:val="clear" w:color="auto" w:fill="D9D9D9" w:themeFill="background1" w:themeFillShade="D9"/>
          </w:tcPr>
          <w:p w:rsidR="00FA00E1" w:rsidRPr="0093474D" w:rsidRDefault="00FA00E1" w:rsidP="00FA00E1">
            <w:pPr>
              <w:autoSpaceDE w:val="0"/>
              <w:autoSpaceDN w:val="0"/>
              <w:adjustRightInd w:val="0"/>
              <w:jc w:val="center"/>
              <w:rPr>
                <w:rFonts w:asciiTheme="majorBidi" w:hAnsiTheme="majorBidi" w:cstheme="majorBidi"/>
                <w:b/>
                <w:bCs/>
                <w:color w:val="000000"/>
                <w:sz w:val="20"/>
                <w:szCs w:val="20"/>
              </w:rPr>
            </w:pPr>
            <w:r w:rsidRPr="00B3156D">
              <w:rPr>
                <w:rFonts w:asciiTheme="majorBidi" w:hAnsiTheme="majorBidi" w:cstheme="majorBidi"/>
                <w:b/>
                <w:bCs/>
                <w:color w:val="000000"/>
                <w:sz w:val="20"/>
                <w:szCs w:val="20"/>
              </w:rPr>
              <w:t xml:space="preserve">National minima </w:t>
            </w:r>
            <w:r>
              <w:rPr>
                <w:rFonts w:asciiTheme="majorBidi" w:hAnsiTheme="majorBidi" w:cstheme="majorBidi"/>
                <w:b/>
                <w:bCs/>
                <w:color w:val="000000"/>
                <w:sz w:val="20"/>
                <w:szCs w:val="20"/>
              </w:rPr>
              <w:t xml:space="preserve">including CCB </w:t>
            </w:r>
            <w:r w:rsidRPr="00B3156D">
              <w:rPr>
                <w:rFonts w:asciiTheme="majorBidi" w:hAnsiTheme="majorBidi" w:cstheme="majorBidi"/>
                <w:b/>
                <w:bCs/>
                <w:color w:val="000000"/>
                <w:sz w:val="20"/>
                <w:szCs w:val="20"/>
              </w:rPr>
              <w:t>(</w:t>
            </w:r>
            <w:r>
              <w:rPr>
                <w:rFonts w:asciiTheme="majorBidi" w:hAnsiTheme="majorBidi" w:cstheme="majorBidi"/>
                <w:b/>
                <w:bCs/>
                <w:color w:val="000000"/>
                <w:sz w:val="20"/>
                <w:szCs w:val="20"/>
              </w:rPr>
              <w:t>where</w:t>
            </w:r>
            <w:r w:rsidRPr="00B3156D">
              <w:rPr>
                <w:rFonts w:asciiTheme="majorBidi" w:hAnsiTheme="majorBidi" w:cstheme="majorBidi"/>
                <w:b/>
                <w:bCs/>
                <w:color w:val="000000"/>
                <w:sz w:val="20"/>
                <w:szCs w:val="20"/>
              </w:rPr>
              <w:t xml:space="preserve"> different from Basel </w:t>
            </w:r>
            <w:r>
              <w:rPr>
                <w:rFonts w:asciiTheme="majorBidi" w:hAnsiTheme="majorBidi" w:cstheme="majorBidi"/>
                <w:b/>
                <w:bCs/>
                <w:color w:val="000000"/>
                <w:sz w:val="20"/>
                <w:szCs w:val="20"/>
              </w:rPr>
              <w:t>III</w:t>
            </w:r>
            <w:r w:rsidRPr="00B3156D">
              <w:rPr>
                <w:rFonts w:asciiTheme="majorBidi" w:hAnsiTheme="majorBidi" w:cstheme="majorBidi"/>
                <w:b/>
                <w:bCs/>
                <w:color w:val="000000"/>
                <w:sz w:val="20"/>
                <w:szCs w:val="20"/>
              </w:rPr>
              <w:t>)</w:t>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93474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t xml:space="preserve">CBB </w:t>
            </w:r>
            <w:r w:rsidRPr="00B3156D">
              <w:rPr>
                <w:rFonts w:asciiTheme="majorBidi" w:hAnsiTheme="majorBidi" w:cstheme="majorBidi"/>
                <w:color w:val="000000"/>
                <w:sz w:val="20"/>
                <w:szCs w:val="20"/>
              </w:rPr>
              <w:t>Common Equity Tier 1 minimum ratio</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t>9.0</w:t>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93474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t xml:space="preserve">CBB </w:t>
            </w:r>
            <w:r w:rsidRPr="00B3156D">
              <w:rPr>
                <w:rFonts w:asciiTheme="majorBidi" w:hAnsiTheme="majorBidi" w:cstheme="majorBidi"/>
                <w:color w:val="000000"/>
                <w:sz w:val="20"/>
                <w:szCs w:val="20"/>
              </w:rPr>
              <w:t>Tier 1 minimum ratio</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t>10.5</w:t>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93474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t xml:space="preserve">CBB </w:t>
            </w:r>
            <w:r w:rsidRPr="00B3156D">
              <w:rPr>
                <w:rFonts w:asciiTheme="majorBidi" w:hAnsiTheme="majorBidi" w:cstheme="majorBidi"/>
                <w:color w:val="000000"/>
                <w:sz w:val="20"/>
                <w:szCs w:val="20"/>
              </w:rPr>
              <w:t>total capital minimum ratio</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t>12.5</w:t>
            </w:r>
          </w:p>
        </w:tc>
      </w:tr>
      <w:tr w:rsidR="00FA00E1" w:rsidRPr="00B3156D" w:rsidTr="00AB171B">
        <w:trPr>
          <w:jc w:val="center"/>
        </w:trPr>
        <w:tc>
          <w:tcPr>
            <w:tcW w:w="9221" w:type="dxa"/>
            <w:gridSpan w:val="3"/>
            <w:shd w:val="clear" w:color="auto" w:fill="D9D9D9" w:themeFill="background1" w:themeFillShade="D9"/>
          </w:tcPr>
          <w:p w:rsidR="00FA00E1" w:rsidRPr="00BC54A0" w:rsidRDefault="00FA00E1" w:rsidP="00FA00E1">
            <w:pPr>
              <w:autoSpaceDE w:val="0"/>
              <w:autoSpaceDN w:val="0"/>
              <w:adjustRightInd w:val="0"/>
              <w:jc w:val="center"/>
              <w:rPr>
                <w:rFonts w:asciiTheme="majorBidi" w:hAnsiTheme="majorBidi" w:cstheme="majorBidi"/>
                <w:b/>
                <w:bCs/>
                <w:color w:val="000000"/>
                <w:sz w:val="20"/>
                <w:szCs w:val="20"/>
              </w:rPr>
            </w:pPr>
            <w:r w:rsidRPr="00B3156D">
              <w:rPr>
                <w:rFonts w:asciiTheme="majorBidi" w:hAnsiTheme="majorBidi" w:cstheme="majorBidi"/>
                <w:b/>
                <w:bCs/>
                <w:color w:val="000000"/>
                <w:sz w:val="20"/>
                <w:szCs w:val="20"/>
              </w:rPr>
              <w:t>Amounts below the thresholds for deduction (before risk weighting)</w:t>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C54A0"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Non-significant investments in the capital of other financials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9"/>
                  <w:enabled/>
                  <w:calcOnExit w:val="0"/>
                  <w:textInput/>
                </w:ffData>
              </w:fldChar>
            </w:r>
            <w:bookmarkStart w:id="22" w:name="Text9"/>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bookmarkEnd w:id="22"/>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C54A0"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Significant investments in the common stock of financials</w:t>
            </w:r>
          </w:p>
        </w:tc>
        <w:tc>
          <w:tcPr>
            <w:tcW w:w="1473" w:type="dxa"/>
          </w:tcPr>
          <w:p w:rsidR="00FA00E1" w:rsidRPr="00B3156D" w:rsidRDefault="00FA00E1" w:rsidP="00FA00E1">
            <w:pPr>
              <w:autoSpaceDE w:val="0"/>
              <w:autoSpaceDN w:val="0"/>
              <w:adjustRightInd w:val="0"/>
              <w:jc w:val="center"/>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Mortgage servicing rights (net of related tax liability)</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Deferred tax assets arising from temporary differences (net of related tax liability)</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9221" w:type="dxa"/>
            <w:gridSpan w:val="3"/>
            <w:shd w:val="clear" w:color="auto" w:fill="D9D9D9" w:themeFill="background1" w:themeFillShade="D9"/>
          </w:tcPr>
          <w:p w:rsidR="00FA00E1" w:rsidRPr="00934713" w:rsidRDefault="00FA00E1" w:rsidP="00FA00E1">
            <w:pPr>
              <w:autoSpaceDE w:val="0"/>
              <w:autoSpaceDN w:val="0"/>
              <w:adjustRightInd w:val="0"/>
              <w:jc w:val="center"/>
              <w:rPr>
                <w:rFonts w:asciiTheme="majorBidi" w:hAnsiTheme="majorBidi" w:cstheme="majorBidi"/>
                <w:b/>
                <w:bCs/>
                <w:color w:val="000000"/>
                <w:sz w:val="20"/>
                <w:szCs w:val="20"/>
              </w:rPr>
            </w:pPr>
            <w:r w:rsidRPr="00B3156D">
              <w:rPr>
                <w:rFonts w:asciiTheme="majorBidi" w:hAnsiTheme="majorBidi" w:cstheme="majorBidi"/>
                <w:b/>
                <w:bCs/>
                <w:color w:val="000000"/>
                <w:sz w:val="20"/>
                <w:szCs w:val="20"/>
              </w:rPr>
              <w:t>Applicable caps on the inclusion of provisions in Tier 2</w:t>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Provisions eligible for inclusion in Tier 2 in respect of exposures subject to standardised approach (prior to application of cap)</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sidRPr="00B3156D">
              <w:rPr>
                <w:rFonts w:asciiTheme="majorBidi" w:hAnsiTheme="majorBidi" w:cstheme="majorBidi"/>
                <w:color w:val="000000"/>
                <w:sz w:val="20"/>
                <w:szCs w:val="20"/>
              </w:rPr>
              <w:t>Cap on inclusion of provisions in Tier 2 under standardised approach</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t>N/A</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t>N/A</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9221" w:type="dxa"/>
            <w:gridSpan w:val="3"/>
            <w:shd w:val="clear" w:color="auto" w:fill="D9D9D9" w:themeFill="background1" w:themeFillShade="D9"/>
          </w:tcPr>
          <w:p w:rsidR="00FA00E1" w:rsidRPr="00DD3D8A" w:rsidRDefault="00FA00E1" w:rsidP="00FA00E1">
            <w:pPr>
              <w:autoSpaceDE w:val="0"/>
              <w:autoSpaceDN w:val="0"/>
              <w:adjustRightInd w:val="0"/>
              <w:jc w:val="lowKashida"/>
              <w:rPr>
                <w:rFonts w:asciiTheme="majorBidi" w:hAnsiTheme="majorBidi" w:cstheme="majorBidi"/>
                <w:b/>
                <w:bCs/>
                <w:i/>
                <w:iCs/>
                <w:color w:val="000000"/>
                <w:sz w:val="20"/>
                <w:szCs w:val="20"/>
              </w:rPr>
            </w:pPr>
            <w:r w:rsidRPr="00B3156D">
              <w:rPr>
                <w:rFonts w:asciiTheme="majorBidi" w:hAnsiTheme="majorBidi" w:cstheme="majorBidi"/>
                <w:b/>
                <w:bCs/>
                <w:i/>
                <w:iCs/>
                <w:color w:val="000000"/>
                <w:sz w:val="20"/>
                <w:szCs w:val="20"/>
              </w:rPr>
              <w:t>Capital instruments subject to phase-out arrangements (only applicable between 1 Jan 201</w:t>
            </w:r>
            <w:r>
              <w:rPr>
                <w:rFonts w:asciiTheme="majorBidi" w:hAnsiTheme="majorBidi" w:cstheme="majorBidi"/>
                <w:b/>
                <w:bCs/>
                <w:i/>
                <w:iCs/>
                <w:color w:val="000000"/>
                <w:sz w:val="20"/>
                <w:szCs w:val="20"/>
              </w:rPr>
              <w:t>9</w:t>
            </w:r>
            <w:r w:rsidRPr="00B3156D">
              <w:rPr>
                <w:rFonts w:asciiTheme="majorBidi" w:hAnsiTheme="majorBidi" w:cstheme="majorBidi"/>
                <w:b/>
                <w:bCs/>
                <w:i/>
                <w:iCs/>
                <w:color w:val="000000"/>
                <w:sz w:val="20"/>
                <w:szCs w:val="20"/>
              </w:rPr>
              <w:t xml:space="preserve"> and 1 Jan 202</w:t>
            </w:r>
            <w:r>
              <w:rPr>
                <w:rFonts w:asciiTheme="majorBidi" w:hAnsiTheme="majorBidi" w:cstheme="majorBidi"/>
                <w:b/>
                <w:bCs/>
                <w:i/>
                <w:iCs/>
                <w:color w:val="000000"/>
                <w:sz w:val="20"/>
                <w:szCs w:val="20"/>
              </w:rPr>
              <w:t>3</w:t>
            </w:r>
            <w:r w:rsidRPr="00B3156D">
              <w:rPr>
                <w:rFonts w:asciiTheme="majorBidi" w:hAnsiTheme="majorBidi" w:cstheme="majorBidi"/>
                <w:b/>
                <w:bCs/>
                <w:i/>
                <w:iCs/>
                <w:color w:val="000000"/>
                <w:sz w:val="20"/>
                <w:szCs w:val="20"/>
              </w:rPr>
              <w:t>)</w:t>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DD3D8A" w:rsidRDefault="00FA00E1" w:rsidP="00FA00E1">
            <w:pPr>
              <w:autoSpaceDE w:val="0"/>
              <w:autoSpaceDN w:val="0"/>
              <w:adjustRightInd w:val="0"/>
              <w:jc w:val="lowKashida"/>
              <w:rPr>
                <w:rFonts w:asciiTheme="majorBidi" w:hAnsiTheme="majorBidi" w:cstheme="majorBidi"/>
                <w:i/>
                <w:iCs/>
                <w:color w:val="000000"/>
                <w:sz w:val="20"/>
                <w:szCs w:val="20"/>
              </w:rPr>
            </w:pPr>
            <w:r w:rsidRPr="00B3156D">
              <w:rPr>
                <w:rFonts w:asciiTheme="majorBidi" w:hAnsiTheme="majorBidi" w:cstheme="majorBidi"/>
                <w:i/>
                <w:iCs/>
                <w:color w:val="000000"/>
                <w:sz w:val="20"/>
                <w:szCs w:val="20"/>
              </w:rPr>
              <w:t>Current cap on CET1 instruments subject to phase out arrangements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DD3D8A" w:rsidRDefault="00FA00E1" w:rsidP="00FA00E1">
            <w:pPr>
              <w:autoSpaceDE w:val="0"/>
              <w:autoSpaceDN w:val="0"/>
              <w:adjustRightInd w:val="0"/>
              <w:jc w:val="lowKashida"/>
              <w:rPr>
                <w:rFonts w:asciiTheme="majorBidi" w:hAnsiTheme="majorBidi" w:cstheme="majorBidi"/>
                <w:i/>
                <w:iCs/>
                <w:color w:val="000000"/>
                <w:sz w:val="20"/>
                <w:szCs w:val="20"/>
              </w:rPr>
            </w:pPr>
            <w:r w:rsidRPr="00B3156D">
              <w:rPr>
                <w:rFonts w:asciiTheme="majorBidi" w:hAnsiTheme="majorBidi" w:cstheme="majorBidi"/>
                <w:i/>
                <w:iCs/>
                <w:color w:val="000000"/>
                <w:sz w:val="20"/>
                <w:szCs w:val="20"/>
              </w:rPr>
              <w:t>Amount excluded from CET1 due to cap (excess over cap after redemptions and maturities)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DD3D8A" w:rsidRDefault="00FA00E1" w:rsidP="00FA00E1">
            <w:pPr>
              <w:autoSpaceDE w:val="0"/>
              <w:autoSpaceDN w:val="0"/>
              <w:adjustRightInd w:val="0"/>
              <w:jc w:val="lowKashida"/>
              <w:rPr>
                <w:rFonts w:asciiTheme="majorBidi" w:hAnsiTheme="majorBidi" w:cstheme="majorBidi"/>
                <w:i/>
                <w:iCs/>
                <w:color w:val="000000"/>
                <w:sz w:val="20"/>
                <w:szCs w:val="20"/>
              </w:rPr>
            </w:pPr>
            <w:r w:rsidRPr="00B3156D">
              <w:rPr>
                <w:rFonts w:asciiTheme="majorBidi" w:hAnsiTheme="majorBidi" w:cstheme="majorBidi"/>
                <w:i/>
                <w:iCs/>
                <w:color w:val="000000"/>
                <w:sz w:val="20"/>
                <w:szCs w:val="20"/>
              </w:rPr>
              <w:t>Current cap on AT1 instruments subject to phase out arrangements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DD3D8A" w:rsidRDefault="00FA00E1" w:rsidP="00FA00E1">
            <w:pPr>
              <w:autoSpaceDE w:val="0"/>
              <w:autoSpaceDN w:val="0"/>
              <w:adjustRightInd w:val="0"/>
              <w:jc w:val="lowKashida"/>
              <w:rPr>
                <w:rFonts w:asciiTheme="majorBidi" w:hAnsiTheme="majorBidi" w:cstheme="majorBidi"/>
                <w:i/>
                <w:iCs/>
                <w:color w:val="000000"/>
                <w:sz w:val="20"/>
                <w:szCs w:val="20"/>
              </w:rPr>
            </w:pPr>
            <w:r w:rsidRPr="00B3156D">
              <w:rPr>
                <w:rFonts w:asciiTheme="majorBidi" w:hAnsiTheme="majorBidi" w:cstheme="majorBidi"/>
                <w:i/>
                <w:iCs/>
                <w:color w:val="000000"/>
                <w:sz w:val="20"/>
                <w:szCs w:val="20"/>
              </w:rPr>
              <w:t>Amount excluded from AT1 due to cap (excess over cap after redemptions and maturities)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B3156D" w:rsidTr="00AB171B">
        <w:trPr>
          <w:jc w:val="center"/>
        </w:trPr>
        <w:tc>
          <w:tcPr>
            <w:tcW w:w="638" w:type="dxa"/>
          </w:tcPr>
          <w:p w:rsidR="00FA00E1" w:rsidRPr="00B3156D"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DD3D8A" w:rsidRDefault="00FA00E1" w:rsidP="00FA00E1">
            <w:pPr>
              <w:autoSpaceDE w:val="0"/>
              <w:autoSpaceDN w:val="0"/>
              <w:adjustRightInd w:val="0"/>
              <w:jc w:val="lowKashida"/>
              <w:rPr>
                <w:rFonts w:asciiTheme="majorBidi" w:hAnsiTheme="majorBidi" w:cstheme="majorBidi"/>
                <w:i/>
                <w:iCs/>
                <w:color w:val="000000"/>
                <w:sz w:val="20"/>
                <w:szCs w:val="20"/>
              </w:rPr>
            </w:pPr>
            <w:r w:rsidRPr="00B3156D">
              <w:rPr>
                <w:rFonts w:asciiTheme="majorBidi" w:hAnsiTheme="majorBidi" w:cstheme="majorBidi"/>
                <w:i/>
                <w:iCs/>
                <w:color w:val="000000"/>
                <w:sz w:val="20"/>
                <w:szCs w:val="20"/>
              </w:rPr>
              <w:t>Current cap on T2 instruments subject to phase out arrangements</w:t>
            </w:r>
          </w:p>
        </w:tc>
        <w:tc>
          <w:tcPr>
            <w:tcW w:w="1473" w:type="dxa"/>
          </w:tcPr>
          <w:p w:rsidR="00FA00E1" w:rsidRPr="00B3156D" w:rsidRDefault="00FA00E1" w:rsidP="00FA00E1">
            <w:pPr>
              <w:autoSpaceDE w:val="0"/>
              <w:autoSpaceDN w:val="0"/>
              <w:adjustRightInd w:val="0"/>
              <w:jc w:val="lowKashida"/>
              <w:rPr>
                <w:rFonts w:asciiTheme="majorBidi" w:hAnsiTheme="majorBidi" w:cstheme="majorBidi"/>
                <w:color w:val="000000"/>
                <w:sz w:val="20"/>
                <w:szCs w:val="20"/>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r w:rsidR="00FA00E1" w:rsidRPr="009F4C18" w:rsidTr="00AB171B">
        <w:trPr>
          <w:jc w:val="center"/>
        </w:trPr>
        <w:tc>
          <w:tcPr>
            <w:tcW w:w="638" w:type="dxa"/>
          </w:tcPr>
          <w:p w:rsidR="00FA00E1" w:rsidRPr="002C044F" w:rsidRDefault="00FA00E1" w:rsidP="00FA00E1">
            <w:pPr>
              <w:pStyle w:val="ListParagraph"/>
              <w:numPr>
                <w:ilvl w:val="0"/>
                <w:numId w:val="1"/>
              </w:numPr>
              <w:autoSpaceDE w:val="0"/>
              <w:autoSpaceDN w:val="0"/>
              <w:adjustRightInd w:val="0"/>
              <w:ind w:left="0" w:firstLine="0"/>
              <w:jc w:val="lowKashida"/>
              <w:rPr>
                <w:rFonts w:asciiTheme="majorBidi" w:hAnsiTheme="majorBidi" w:cstheme="majorBidi"/>
                <w:color w:val="000000"/>
                <w:sz w:val="20"/>
                <w:szCs w:val="20"/>
              </w:rPr>
            </w:pPr>
          </w:p>
        </w:tc>
        <w:tc>
          <w:tcPr>
            <w:tcW w:w="7110" w:type="dxa"/>
          </w:tcPr>
          <w:p w:rsidR="00FA00E1" w:rsidRPr="006C1EC7" w:rsidRDefault="00FA00E1" w:rsidP="00FA00E1">
            <w:pPr>
              <w:autoSpaceDE w:val="0"/>
              <w:autoSpaceDN w:val="0"/>
              <w:adjustRightInd w:val="0"/>
              <w:jc w:val="lowKashida"/>
              <w:rPr>
                <w:rFonts w:asciiTheme="majorBidi" w:hAnsiTheme="majorBidi" w:cstheme="majorBidi"/>
                <w:i/>
                <w:iCs/>
                <w:color w:val="000000"/>
              </w:rPr>
            </w:pPr>
            <w:r w:rsidRPr="006C1EC7">
              <w:rPr>
                <w:rFonts w:asciiTheme="majorBidi" w:hAnsiTheme="majorBidi" w:cstheme="majorBidi"/>
                <w:i/>
                <w:iCs/>
                <w:color w:val="000000"/>
              </w:rPr>
              <w:t>Amount excluded from T2 due to cap (excess over cap after redemptions and maturities)</w:t>
            </w:r>
          </w:p>
        </w:tc>
        <w:tc>
          <w:tcPr>
            <w:tcW w:w="1473" w:type="dxa"/>
          </w:tcPr>
          <w:p w:rsidR="00FA00E1" w:rsidRPr="009F4C18" w:rsidRDefault="00FA00E1" w:rsidP="00FA00E1">
            <w:pPr>
              <w:autoSpaceDE w:val="0"/>
              <w:autoSpaceDN w:val="0"/>
              <w:adjustRightInd w:val="0"/>
              <w:jc w:val="lowKashida"/>
              <w:rPr>
                <w:rFonts w:asciiTheme="majorBidi" w:hAnsiTheme="majorBidi" w:cstheme="majorBidi"/>
                <w:color w:val="000000"/>
                <w:sz w:val="24"/>
                <w:szCs w:val="24"/>
              </w:rPr>
            </w:pPr>
            <w:r>
              <w:rPr>
                <w:rFonts w:asciiTheme="majorBidi" w:hAnsiTheme="majorBidi" w:cstheme="majorBidi"/>
                <w:color w:val="000000"/>
                <w:sz w:val="20"/>
                <w:szCs w:val="20"/>
              </w:rPr>
              <w:fldChar w:fldCharType="begin">
                <w:ffData>
                  <w:name w:val="Text22"/>
                  <w:enabled/>
                  <w:calcOnExit w:val="0"/>
                  <w:textInput/>
                </w:ffData>
              </w:fldChar>
            </w:r>
            <w:r>
              <w:rPr>
                <w:rFonts w:asciiTheme="majorBidi" w:hAnsiTheme="majorBidi" w:cstheme="majorBidi"/>
                <w:color w:val="000000"/>
                <w:sz w:val="20"/>
                <w:szCs w:val="20"/>
              </w:rPr>
              <w:instrText xml:space="preserve"> FORMTEXT </w:instrText>
            </w:r>
            <w:r>
              <w:rPr>
                <w:rFonts w:asciiTheme="majorBidi" w:hAnsiTheme="majorBidi" w:cstheme="majorBidi"/>
                <w:color w:val="000000"/>
                <w:sz w:val="20"/>
                <w:szCs w:val="20"/>
              </w:rPr>
            </w:r>
            <w:r>
              <w:rPr>
                <w:rFonts w:asciiTheme="majorBidi" w:hAnsiTheme="majorBidi" w:cstheme="majorBidi"/>
                <w:color w:val="000000"/>
                <w:sz w:val="20"/>
                <w:szCs w:val="20"/>
              </w:rPr>
              <w:fldChar w:fldCharType="separate"/>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noProof/>
                <w:color w:val="000000"/>
                <w:sz w:val="20"/>
                <w:szCs w:val="20"/>
              </w:rPr>
              <w:t> </w:t>
            </w:r>
            <w:r>
              <w:rPr>
                <w:rFonts w:asciiTheme="majorBidi" w:hAnsiTheme="majorBidi" w:cstheme="majorBidi"/>
                <w:color w:val="000000"/>
                <w:sz w:val="20"/>
                <w:szCs w:val="20"/>
              </w:rPr>
              <w:fldChar w:fldCharType="end"/>
            </w:r>
          </w:p>
        </w:tc>
      </w:tr>
    </w:tbl>
    <w:p w:rsidR="00B454E6" w:rsidRDefault="00B454E6"/>
    <w:sectPr w:rsidR="00B45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2FE3"/>
    <w:multiLevelType w:val="hybridMultilevel"/>
    <w:tmpl w:val="736A2FE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AES" w:cryptAlgorithmClass="hash" w:cryptAlgorithmType="typeAny" w:cryptAlgorithmSid="14" w:cryptSpinCount="100000" w:hash="P0fgpr4gDrkk1FtCcAMLw/TW4kWk3/Mh2pbAjmH6XJhleWgv7wg/0WiMCVNMbymwgtZybx4E9qKYhHGlPJbMOg==" w:salt="DQD7iJbVLBQ63kURdO7Gb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94"/>
    <w:rsid w:val="000A29A6"/>
    <w:rsid w:val="00AD6068"/>
    <w:rsid w:val="00B16682"/>
    <w:rsid w:val="00B454E6"/>
    <w:rsid w:val="00B5577D"/>
    <w:rsid w:val="00C34794"/>
    <w:rsid w:val="00D3181D"/>
    <w:rsid w:val="00FA00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7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7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Prevost</dc:creator>
  <cp:lastModifiedBy>Johanne Prevost</cp:lastModifiedBy>
  <cp:revision>2</cp:revision>
  <dcterms:created xsi:type="dcterms:W3CDTF">2015-05-28T06:08:00Z</dcterms:created>
  <dcterms:modified xsi:type="dcterms:W3CDTF">2015-05-28T06:08:00Z</dcterms:modified>
</cp:coreProperties>
</file>